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6F0F1B" w:rsidTr="00D8257A">
        <w:trPr>
          <w:trHeight w:hRule="exact" w:val="851"/>
        </w:trPr>
        <w:tc>
          <w:tcPr>
            <w:tcW w:w="1276" w:type="dxa"/>
            <w:tcBorders>
              <w:bottom w:val="single" w:sz="4" w:space="0" w:color="auto"/>
            </w:tcBorders>
          </w:tcPr>
          <w:p w:rsidR="00057BC0" w:rsidRPr="006F0F1B" w:rsidRDefault="002F1E88" w:rsidP="00C717E0">
            <w:pPr>
              <w:rPr>
                <w:lang w:val="fr-FR"/>
              </w:rPr>
            </w:pPr>
            <w:r>
              <w:rPr>
                <w:lang w:val="fr-FR"/>
              </w:rPr>
              <w:t xml:space="preserve"> </w:t>
            </w:r>
          </w:p>
        </w:tc>
        <w:tc>
          <w:tcPr>
            <w:tcW w:w="2268" w:type="dxa"/>
            <w:tcBorders>
              <w:bottom w:val="single" w:sz="4" w:space="0" w:color="auto"/>
            </w:tcBorders>
            <w:vAlign w:val="bottom"/>
          </w:tcPr>
          <w:p w:rsidR="00057BC0" w:rsidRPr="006F0F1B" w:rsidRDefault="00057BC0" w:rsidP="00C717E0">
            <w:pPr>
              <w:spacing w:after="80" w:line="300" w:lineRule="exact"/>
              <w:rPr>
                <w:sz w:val="28"/>
                <w:lang w:val="fr-FR"/>
              </w:rPr>
            </w:pPr>
            <w:r w:rsidRPr="006F0F1B">
              <w:rPr>
                <w:sz w:val="28"/>
                <w:lang w:val="fr-FR"/>
              </w:rPr>
              <w:t>Nations Unies</w:t>
            </w:r>
          </w:p>
        </w:tc>
        <w:tc>
          <w:tcPr>
            <w:tcW w:w="6095" w:type="dxa"/>
            <w:gridSpan w:val="2"/>
            <w:tcBorders>
              <w:bottom w:val="single" w:sz="4" w:space="0" w:color="auto"/>
            </w:tcBorders>
            <w:vAlign w:val="bottom"/>
          </w:tcPr>
          <w:p w:rsidR="00057BC0" w:rsidRPr="006F0F1B" w:rsidRDefault="006879D2" w:rsidP="006879D2">
            <w:pPr>
              <w:jc w:val="right"/>
              <w:rPr>
                <w:lang w:val="fr-FR"/>
              </w:rPr>
            </w:pPr>
            <w:r w:rsidRPr="006F0F1B">
              <w:rPr>
                <w:sz w:val="40"/>
                <w:lang w:val="fr-FR"/>
              </w:rPr>
              <w:t>A</w:t>
            </w:r>
            <w:r w:rsidRPr="006F0F1B">
              <w:rPr>
                <w:lang w:val="fr-FR"/>
              </w:rPr>
              <w:t>/HRC/29/40</w:t>
            </w:r>
            <w:r w:rsidR="00723CCE" w:rsidRPr="00723CCE">
              <w:rPr>
                <w:rStyle w:val="FootnoteReference"/>
                <w:sz w:val="20"/>
                <w:vertAlign w:val="baseline"/>
                <w:lang w:val="fr-FR"/>
              </w:rPr>
              <w:footnoteReference w:customMarkFollows="1" w:id="2"/>
              <w:t>*</w:t>
            </w:r>
          </w:p>
        </w:tc>
      </w:tr>
      <w:tr w:rsidR="00057BC0" w:rsidRPr="006F0F1B" w:rsidTr="00C717E0">
        <w:trPr>
          <w:trHeight w:hRule="exact" w:val="2835"/>
        </w:trPr>
        <w:tc>
          <w:tcPr>
            <w:tcW w:w="1276" w:type="dxa"/>
            <w:tcBorders>
              <w:top w:val="single" w:sz="4" w:space="0" w:color="auto"/>
              <w:bottom w:val="single" w:sz="12" w:space="0" w:color="auto"/>
            </w:tcBorders>
          </w:tcPr>
          <w:p w:rsidR="00057BC0" w:rsidRPr="006F0F1B" w:rsidRDefault="00663E04" w:rsidP="00C717E0">
            <w:pPr>
              <w:spacing w:before="120"/>
              <w:jc w:val="center"/>
              <w:rPr>
                <w:lang w:val="fr-FR"/>
              </w:rPr>
            </w:pPr>
            <w:r>
              <w:rPr>
                <w:noProof/>
                <w:lang w:val="en-US"/>
              </w:rPr>
              <w:drawing>
                <wp:inline distT="0" distB="0" distL="0" distR="0">
                  <wp:extent cx="716280" cy="586740"/>
                  <wp:effectExtent l="0" t="0" r="7620" b="381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57BC0" w:rsidRPr="006F0F1B" w:rsidRDefault="00057BC0" w:rsidP="00C717E0">
            <w:pPr>
              <w:spacing w:before="120" w:line="420" w:lineRule="exact"/>
              <w:rPr>
                <w:b/>
                <w:sz w:val="40"/>
                <w:szCs w:val="40"/>
                <w:lang w:val="fr-FR"/>
              </w:rPr>
            </w:pPr>
            <w:r w:rsidRPr="006F0F1B">
              <w:rPr>
                <w:b/>
                <w:sz w:val="40"/>
                <w:szCs w:val="40"/>
                <w:lang w:val="fr-FR"/>
              </w:rPr>
              <w:t>Assemblée générale</w:t>
            </w:r>
          </w:p>
        </w:tc>
        <w:tc>
          <w:tcPr>
            <w:tcW w:w="2835" w:type="dxa"/>
            <w:tcBorders>
              <w:top w:val="single" w:sz="4" w:space="0" w:color="auto"/>
              <w:bottom w:val="single" w:sz="12" w:space="0" w:color="auto"/>
            </w:tcBorders>
          </w:tcPr>
          <w:p w:rsidR="00057BC0" w:rsidRPr="006F0F1B" w:rsidRDefault="006879D2" w:rsidP="00C717E0">
            <w:pPr>
              <w:spacing w:before="240"/>
              <w:rPr>
                <w:lang w:val="fr-FR"/>
              </w:rPr>
            </w:pPr>
            <w:r w:rsidRPr="006F0F1B">
              <w:rPr>
                <w:lang w:val="fr-FR"/>
              </w:rPr>
              <w:t>Distr. générale</w:t>
            </w:r>
          </w:p>
          <w:p w:rsidR="006879D2" w:rsidRPr="006F0F1B" w:rsidRDefault="001438CE" w:rsidP="009815C0">
            <w:pPr>
              <w:spacing w:line="240" w:lineRule="exact"/>
              <w:rPr>
                <w:lang w:val="fr-FR"/>
              </w:rPr>
            </w:pPr>
            <w:r w:rsidRPr="00273ABE">
              <w:rPr>
                <w:lang w:val="fr-FR"/>
              </w:rPr>
              <w:t>2</w:t>
            </w:r>
            <w:r w:rsidR="00B60F43" w:rsidRPr="00CC0FB5">
              <w:rPr>
                <w:lang w:val="fr-FR"/>
              </w:rPr>
              <w:t xml:space="preserve"> </w:t>
            </w:r>
            <w:r w:rsidR="009815C0" w:rsidRPr="00273ABE">
              <w:rPr>
                <w:lang w:val="fr-FR"/>
              </w:rPr>
              <w:t xml:space="preserve">avril </w:t>
            </w:r>
            <w:r w:rsidR="006879D2" w:rsidRPr="00CC0FB5">
              <w:rPr>
                <w:lang w:val="fr-FR"/>
              </w:rPr>
              <w:t>2015</w:t>
            </w:r>
          </w:p>
          <w:p w:rsidR="006879D2" w:rsidRPr="006F0F1B" w:rsidRDefault="006879D2" w:rsidP="006879D2">
            <w:pPr>
              <w:spacing w:line="240" w:lineRule="exact"/>
              <w:rPr>
                <w:lang w:val="fr-FR"/>
              </w:rPr>
            </w:pPr>
          </w:p>
          <w:p w:rsidR="006879D2" w:rsidRPr="006F0F1B" w:rsidRDefault="006879D2" w:rsidP="006879D2">
            <w:pPr>
              <w:spacing w:line="240" w:lineRule="exact"/>
              <w:rPr>
                <w:lang w:val="fr-FR"/>
              </w:rPr>
            </w:pPr>
            <w:r w:rsidRPr="006F0F1B">
              <w:rPr>
                <w:lang w:val="fr-FR"/>
              </w:rPr>
              <w:t xml:space="preserve">Original: français </w:t>
            </w:r>
          </w:p>
        </w:tc>
      </w:tr>
    </w:tbl>
    <w:p w:rsidR="00D8257A" w:rsidRPr="00E32163" w:rsidRDefault="00D8257A" w:rsidP="00D8257A">
      <w:pPr>
        <w:spacing w:before="120"/>
        <w:jc w:val="both"/>
        <w:rPr>
          <w:b/>
          <w:sz w:val="24"/>
          <w:szCs w:val="24"/>
          <w:lang w:val="fr-FR"/>
        </w:rPr>
      </w:pPr>
      <w:r w:rsidRPr="00E32163">
        <w:rPr>
          <w:b/>
          <w:sz w:val="24"/>
          <w:szCs w:val="24"/>
          <w:lang w:val="fr-FR"/>
        </w:rPr>
        <w:t>Conseil des droits de l’homme</w:t>
      </w:r>
    </w:p>
    <w:p w:rsidR="00D8257A" w:rsidRPr="00E73028" w:rsidRDefault="00D8257A" w:rsidP="00D8257A">
      <w:pPr>
        <w:rPr>
          <w:b/>
          <w:lang w:val="fr-FR"/>
        </w:rPr>
      </w:pPr>
      <w:r w:rsidRPr="00E73028">
        <w:rPr>
          <w:b/>
          <w:lang w:val="fr-FR"/>
        </w:rPr>
        <w:t>Vingt-neuvième session</w:t>
      </w:r>
    </w:p>
    <w:p w:rsidR="00D8257A" w:rsidRPr="00E73028" w:rsidRDefault="00D8257A" w:rsidP="00D8257A">
      <w:pPr>
        <w:rPr>
          <w:lang w:val="fr-FR"/>
        </w:rPr>
      </w:pPr>
      <w:r w:rsidRPr="00E73028">
        <w:rPr>
          <w:lang w:val="fr-FR"/>
        </w:rPr>
        <w:t>Point 3 de l’ordre du jour</w:t>
      </w:r>
    </w:p>
    <w:p w:rsidR="006879D2" w:rsidRPr="006F0F1B" w:rsidRDefault="00D8257A" w:rsidP="002D54FB">
      <w:pPr>
        <w:rPr>
          <w:b/>
          <w:lang w:val="fr-FR"/>
        </w:rPr>
      </w:pPr>
      <w:r w:rsidRPr="004D6249">
        <w:rPr>
          <w:b/>
          <w:lang w:val="fr-FR"/>
        </w:rPr>
        <w:t>Promotion et protection de tous les droits de l’homme,</w:t>
      </w:r>
      <w:r w:rsidR="002D54FB" w:rsidRPr="004D6249">
        <w:rPr>
          <w:b/>
          <w:lang w:val="fr-FR"/>
        </w:rPr>
        <w:br/>
      </w:r>
      <w:r w:rsidRPr="00CD2281">
        <w:rPr>
          <w:b/>
          <w:lang w:val="fr-FR"/>
        </w:rPr>
        <w:t>civils, politiques, économiques, sociaux et culturels,</w:t>
      </w:r>
      <w:r w:rsidR="002D54FB" w:rsidRPr="00CD2281">
        <w:rPr>
          <w:b/>
          <w:lang w:val="fr-FR"/>
        </w:rPr>
        <w:br/>
      </w:r>
      <w:r w:rsidRPr="00CD2281">
        <w:rPr>
          <w:b/>
          <w:lang w:val="fr-FR"/>
        </w:rPr>
        <w:t>y compris le droit au développement</w:t>
      </w:r>
    </w:p>
    <w:p w:rsidR="006879D2" w:rsidRPr="006F0F1B" w:rsidRDefault="00836253" w:rsidP="005E778E">
      <w:pPr>
        <w:pStyle w:val="HChG"/>
        <w:rPr>
          <w:lang w:val="fr-FR"/>
        </w:rPr>
      </w:pPr>
      <w:r w:rsidRPr="006F0F1B">
        <w:rPr>
          <w:lang w:val="fr-FR"/>
        </w:rPr>
        <w:tab/>
      </w:r>
      <w:r w:rsidRPr="006F0F1B">
        <w:rPr>
          <w:lang w:val="fr-FR"/>
        </w:rPr>
        <w:tab/>
      </w:r>
      <w:bookmarkStart w:id="0" w:name="_GoBack"/>
      <w:r w:rsidRPr="00A27B94">
        <w:rPr>
          <w:lang w:val="fr-FR"/>
        </w:rPr>
        <w:t xml:space="preserve">Rapport du Groupe </w:t>
      </w:r>
      <w:r w:rsidR="00FE73CF">
        <w:rPr>
          <w:lang w:val="fr-FR"/>
        </w:rPr>
        <w:t xml:space="preserve">de travail </w:t>
      </w:r>
      <w:r w:rsidRPr="00A27B94">
        <w:rPr>
          <w:lang w:val="fr-FR"/>
        </w:rPr>
        <w:t xml:space="preserve">chargé de la question </w:t>
      </w:r>
      <w:r w:rsidR="005E778E">
        <w:rPr>
          <w:lang w:val="fr-FR"/>
        </w:rPr>
        <w:br/>
      </w:r>
      <w:r w:rsidRPr="00A27B94">
        <w:rPr>
          <w:lang w:val="fr-FR"/>
        </w:rPr>
        <w:t xml:space="preserve">de la discrimination à l’égard des femmes </w:t>
      </w:r>
      <w:r w:rsidR="002D54FB" w:rsidRPr="00A27B94">
        <w:rPr>
          <w:lang w:val="fr-FR"/>
        </w:rPr>
        <w:br/>
      </w:r>
      <w:r w:rsidRPr="00A27B94">
        <w:rPr>
          <w:lang w:val="fr-FR"/>
        </w:rPr>
        <w:t>dans la législation et dans la pratique</w:t>
      </w:r>
      <w:bookmarkEnd w:id="0"/>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E221F6" w:rsidRPr="006F0F1B" w:rsidTr="00AC2714">
        <w:trPr>
          <w:jc w:val="center"/>
        </w:trPr>
        <w:tc>
          <w:tcPr>
            <w:tcW w:w="9637" w:type="dxa"/>
            <w:shd w:val="clear" w:color="auto" w:fill="auto"/>
          </w:tcPr>
          <w:p w:rsidR="00E221F6" w:rsidRPr="006F0F1B" w:rsidRDefault="00E221F6" w:rsidP="00AC2714">
            <w:pPr>
              <w:spacing w:before="240" w:after="120"/>
              <w:ind w:left="255"/>
              <w:rPr>
                <w:i/>
                <w:sz w:val="24"/>
                <w:lang w:val="fr-FR"/>
              </w:rPr>
            </w:pPr>
            <w:r w:rsidRPr="00CD2281">
              <w:rPr>
                <w:i/>
                <w:sz w:val="24"/>
                <w:lang w:val="fr-FR"/>
              </w:rPr>
              <w:t>Résumé</w:t>
            </w:r>
            <w:r w:rsidRPr="006F0F1B">
              <w:rPr>
                <w:i/>
                <w:sz w:val="24"/>
                <w:lang w:val="fr-FR"/>
              </w:rPr>
              <w:t xml:space="preserve"> </w:t>
            </w:r>
          </w:p>
        </w:tc>
      </w:tr>
      <w:tr w:rsidR="00E221F6" w:rsidRPr="006F0F1B" w:rsidTr="00AC2714">
        <w:trPr>
          <w:jc w:val="center"/>
        </w:trPr>
        <w:tc>
          <w:tcPr>
            <w:tcW w:w="9637" w:type="dxa"/>
            <w:shd w:val="clear" w:color="auto" w:fill="auto"/>
          </w:tcPr>
          <w:p w:rsidR="00E221F6" w:rsidRPr="006F0F1B" w:rsidRDefault="005333DF" w:rsidP="00723CCE">
            <w:pPr>
              <w:pStyle w:val="SingleTxtG"/>
              <w:ind w:firstLine="567"/>
              <w:rPr>
                <w:lang w:val="fr-FR"/>
              </w:rPr>
            </w:pPr>
            <w:r>
              <w:rPr>
                <w:lang w:val="fr-FR"/>
              </w:rPr>
              <w:t>Dans l</w:t>
            </w:r>
            <w:r w:rsidR="00E221F6" w:rsidRPr="006F0F1B">
              <w:rPr>
                <w:lang w:val="fr-FR"/>
              </w:rPr>
              <w:t xml:space="preserve">e présent </w:t>
            </w:r>
            <w:r w:rsidR="00E221F6" w:rsidRPr="005E778E">
              <w:rPr>
                <w:lang w:val="fr-FR"/>
              </w:rPr>
              <w:t>rapport</w:t>
            </w:r>
            <w:r w:rsidRPr="005E778E">
              <w:rPr>
                <w:lang w:val="fr-FR"/>
              </w:rPr>
              <w:t>,</w:t>
            </w:r>
            <w:r w:rsidR="00E221F6" w:rsidRPr="006F0F1B">
              <w:rPr>
                <w:lang w:val="fr-FR"/>
              </w:rPr>
              <w:t xml:space="preserve"> </w:t>
            </w:r>
            <w:r>
              <w:rPr>
                <w:lang w:val="fr-FR"/>
              </w:rPr>
              <w:t xml:space="preserve">le </w:t>
            </w:r>
            <w:r w:rsidR="00E221F6" w:rsidRPr="006F0F1B">
              <w:rPr>
                <w:lang w:val="fr-FR"/>
              </w:rPr>
              <w:t xml:space="preserve">Groupe </w:t>
            </w:r>
            <w:r>
              <w:rPr>
                <w:lang w:val="fr-FR"/>
              </w:rPr>
              <w:t xml:space="preserve">de travail </w:t>
            </w:r>
            <w:r w:rsidR="001A500B" w:rsidRPr="006F0F1B">
              <w:rPr>
                <w:lang w:val="fr-FR"/>
              </w:rPr>
              <w:t>examine</w:t>
            </w:r>
            <w:r w:rsidR="00E221F6" w:rsidRPr="006F0F1B">
              <w:rPr>
                <w:lang w:val="fr-FR"/>
              </w:rPr>
              <w:t xml:space="preserve"> la discrimination à l’égard des femmes et des filles dans la vie culturelle et familiale. La construction culturelle du genre détermine le rôle des femmes et des filles au sein de la famille, y compris du mariage. Après avoir analysé le rôle de la culture et de la religion sur le droit à l’égalité pour les femmes et les filles dans la société et la famille, le Groupe </w:t>
            </w:r>
            <w:r w:rsidR="00FE73CF">
              <w:rPr>
                <w:lang w:val="fr-FR"/>
              </w:rPr>
              <w:t xml:space="preserve">de travail </w:t>
            </w:r>
            <w:r w:rsidR="00E221F6" w:rsidRPr="006F0F1B">
              <w:rPr>
                <w:lang w:val="fr-FR"/>
              </w:rPr>
              <w:t xml:space="preserve">redéfinit la </w:t>
            </w:r>
            <w:r w:rsidR="00E221F6" w:rsidRPr="00F86312">
              <w:rPr>
                <w:lang w:val="fr-FR"/>
              </w:rPr>
              <w:t xml:space="preserve">famille </w:t>
            </w:r>
            <w:r w:rsidR="00CE4AA4">
              <w:rPr>
                <w:lang w:val="fr-FR"/>
              </w:rPr>
              <w:t xml:space="preserve">en intégrant une perspective </w:t>
            </w:r>
            <w:r w:rsidR="00E221F6" w:rsidRPr="00F86312">
              <w:rPr>
                <w:lang w:val="fr-FR"/>
              </w:rPr>
              <w:t>de genre</w:t>
            </w:r>
            <w:r w:rsidR="00E221F6" w:rsidRPr="00CD2281">
              <w:rPr>
                <w:lang w:val="fr-FR"/>
              </w:rPr>
              <w:t>. En réaffirmant l’égalité entre les sexes et la diversité familiale, le droit à l’égalité des femmes doit être appliqué dans toutes les formes</w:t>
            </w:r>
            <w:r w:rsidR="00E221F6" w:rsidRPr="006F0F1B">
              <w:rPr>
                <w:lang w:val="fr-FR"/>
              </w:rPr>
              <w:t xml:space="preserve"> de réglementation de la famille, aussi bien dans les systèmes de droit familial sécul</w:t>
            </w:r>
            <w:r w:rsidR="00723CCE">
              <w:rPr>
                <w:lang w:val="fr-FR"/>
              </w:rPr>
              <w:t>ier</w:t>
            </w:r>
            <w:r w:rsidR="00E221F6" w:rsidRPr="006F0F1B">
              <w:rPr>
                <w:lang w:val="fr-FR"/>
              </w:rPr>
              <w:t xml:space="preserve">, </w:t>
            </w:r>
            <w:r w:rsidR="004D6249">
              <w:rPr>
                <w:lang w:val="fr-FR"/>
              </w:rPr>
              <w:t xml:space="preserve">que </w:t>
            </w:r>
            <w:r w:rsidR="00E221F6" w:rsidRPr="006F0F1B">
              <w:rPr>
                <w:lang w:val="fr-FR"/>
              </w:rPr>
              <w:t>dans les systèmes de droit familial religieux imposé par l’</w:t>
            </w:r>
            <w:r w:rsidR="00272691" w:rsidRPr="00ED069E">
              <w:rPr>
                <w:lang w:val="fr-FR"/>
              </w:rPr>
              <w:t>État</w:t>
            </w:r>
            <w:r w:rsidR="00E221F6" w:rsidRPr="006F0F1B">
              <w:rPr>
                <w:lang w:val="fr-FR"/>
              </w:rPr>
              <w:t xml:space="preserve"> et dans les systèmes juridiques pluralistes. Après avoir rappelé les obligations des </w:t>
            </w:r>
            <w:r w:rsidR="00272691" w:rsidRPr="00ED069E">
              <w:rPr>
                <w:lang w:val="fr-FR"/>
              </w:rPr>
              <w:t>États</w:t>
            </w:r>
            <w:r w:rsidR="00E221F6" w:rsidRPr="006F0F1B">
              <w:rPr>
                <w:lang w:val="fr-FR"/>
              </w:rPr>
              <w:t xml:space="preserve"> pour lutter contre la discrimination </w:t>
            </w:r>
            <w:r w:rsidR="00CD2281">
              <w:rPr>
                <w:lang w:val="fr-FR"/>
              </w:rPr>
              <w:t>à l</w:t>
            </w:r>
            <w:r w:rsidR="00961CF9">
              <w:rPr>
                <w:lang w:val="fr-FR"/>
              </w:rPr>
              <w:t>’</w:t>
            </w:r>
            <w:r w:rsidR="00CD2281">
              <w:rPr>
                <w:lang w:val="fr-FR"/>
              </w:rPr>
              <w:t>égard des</w:t>
            </w:r>
            <w:r w:rsidR="00E221F6" w:rsidRPr="006F0F1B">
              <w:rPr>
                <w:lang w:val="fr-FR"/>
              </w:rPr>
              <w:t xml:space="preserve"> femmes dans la vie culturelle et familiale, le Groupe</w:t>
            </w:r>
            <w:r w:rsidR="00FE73CF">
              <w:rPr>
                <w:lang w:val="fr-FR"/>
              </w:rPr>
              <w:t xml:space="preserve"> de travail</w:t>
            </w:r>
            <w:r w:rsidR="00E221F6" w:rsidRPr="006F0F1B">
              <w:rPr>
                <w:lang w:val="fr-FR"/>
              </w:rPr>
              <w:t xml:space="preserve"> propose plusieurs recommandations, tirées de bonnes pratiques, afin d’établir une égalité réelle entre les sexes dans la vie culturelle et familiale.</w:t>
            </w:r>
          </w:p>
        </w:tc>
      </w:tr>
      <w:tr w:rsidR="00E221F6" w:rsidRPr="006F0F1B" w:rsidTr="00AC2714">
        <w:trPr>
          <w:jc w:val="center"/>
        </w:trPr>
        <w:tc>
          <w:tcPr>
            <w:tcW w:w="9637" w:type="dxa"/>
            <w:shd w:val="clear" w:color="auto" w:fill="auto"/>
          </w:tcPr>
          <w:p w:rsidR="00E221F6" w:rsidRPr="006F0F1B" w:rsidRDefault="00E221F6" w:rsidP="00E221F6">
            <w:pPr>
              <w:rPr>
                <w:lang w:val="fr-FR"/>
              </w:rPr>
            </w:pPr>
          </w:p>
        </w:tc>
      </w:tr>
    </w:tbl>
    <w:p w:rsidR="005154FC" w:rsidRPr="006F0F1B" w:rsidRDefault="005154FC" w:rsidP="005154FC">
      <w:pPr>
        <w:rPr>
          <w:lang w:val="fr-FR"/>
        </w:rPr>
      </w:pPr>
    </w:p>
    <w:p w:rsidR="006879D2" w:rsidRPr="006F0F1B" w:rsidRDefault="005154FC" w:rsidP="00C627AA">
      <w:pPr>
        <w:spacing w:after="120"/>
        <w:rPr>
          <w:sz w:val="28"/>
          <w:lang w:val="fr-FR"/>
        </w:rPr>
      </w:pPr>
      <w:r w:rsidRPr="006F0F1B">
        <w:rPr>
          <w:lang w:val="fr-FR"/>
        </w:rPr>
        <w:br w:type="page"/>
      </w:r>
      <w:r w:rsidR="00C627AA" w:rsidRPr="00F92A49">
        <w:rPr>
          <w:sz w:val="28"/>
          <w:lang w:val="fr-FR"/>
        </w:rPr>
        <w:lastRenderedPageBreak/>
        <w:t>Table des matières</w:t>
      </w:r>
    </w:p>
    <w:p w:rsidR="00C627AA" w:rsidRPr="006F0F1B" w:rsidRDefault="00C627AA" w:rsidP="00C627AA">
      <w:pPr>
        <w:tabs>
          <w:tab w:val="right" w:pos="8929"/>
          <w:tab w:val="right" w:pos="9638"/>
        </w:tabs>
        <w:spacing w:after="120"/>
        <w:ind w:left="283"/>
        <w:rPr>
          <w:lang w:val="fr-FR"/>
        </w:rPr>
      </w:pPr>
      <w:r w:rsidRPr="006F0F1B">
        <w:rPr>
          <w:i/>
          <w:sz w:val="18"/>
          <w:lang w:val="fr-FR"/>
        </w:rPr>
        <w:tab/>
        <w:t>Paragraphes</w:t>
      </w:r>
      <w:r w:rsidRPr="006F0F1B">
        <w:rPr>
          <w:i/>
          <w:sz w:val="18"/>
          <w:lang w:val="fr-FR"/>
        </w:rPr>
        <w:tab/>
        <w:t>Page</w:t>
      </w:r>
    </w:p>
    <w:p w:rsidR="00C627AA" w:rsidRPr="006F0F1B" w:rsidRDefault="00C627AA" w:rsidP="009A398C">
      <w:pPr>
        <w:tabs>
          <w:tab w:val="right" w:pos="850"/>
          <w:tab w:val="left" w:pos="1134"/>
          <w:tab w:val="left" w:pos="1559"/>
          <w:tab w:val="left" w:pos="1984"/>
          <w:tab w:val="left" w:leader="dot" w:pos="7654"/>
          <w:tab w:val="right" w:pos="8929"/>
          <w:tab w:val="right" w:pos="9638"/>
        </w:tabs>
        <w:spacing w:after="120"/>
        <w:rPr>
          <w:lang w:val="fr-FR"/>
        </w:rPr>
      </w:pPr>
      <w:r w:rsidRPr="006F0F1B">
        <w:rPr>
          <w:lang w:val="fr-FR"/>
        </w:rPr>
        <w:tab/>
        <w:t>I.</w:t>
      </w:r>
      <w:r w:rsidRPr="006F0F1B">
        <w:rPr>
          <w:lang w:val="fr-FR"/>
        </w:rPr>
        <w:tab/>
        <w:t>Introduction</w:t>
      </w:r>
      <w:r w:rsidRPr="006F0F1B">
        <w:rPr>
          <w:lang w:val="fr-FR"/>
        </w:rPr>
        <w:tab/>
      </w:r>
      <w:r w:rsidRPr="006F0F1B">
        <w:rPr>
          <w:lang w:val="fr-FR"/>
        </w:rPr>
        <w:tab/>
      </w:r>
      <w:r w:rsidR="0075548F" w:rsidRPr="006F0F1B">
        <w:rPr>
          <w:lang w:val="fr-FR"/>
        </w:rPr>
        <w:t>1</w:t>
      </w:r>
      <w:r w:rsidR="00F95103">
        <w:rPr>
          <w:lang w:val="fr-FR"/>
        </w:rPr>
        <w:t>–</w:t>
      </w:r>
      <w:r w:rsidR="0075548F" w:rsidRPr="006F0F1B">
        <w:rPr>
          <w:lang w:val="fr-FR"/>
        </w:rPr>
        <w:t>2</w:t>
      </w:r>
      <w:r w:rsidRPr="006F0F1B">
        <w:rPr>
          <w:lang w:val="fr-FR"/>
        </w:rPr>
        <w:tab/>
      </w:r>
      <w:r w:rsidR="0075548F" w:rsidRPr="006F0F1B">
        <w:rPr>
          <w:lang w:val="fr-FR"/>
        </w:rPr>
        <w:t>3</w:t>
      </w:r>
    </w:p>
    <w:p w:rsidR="00C627AA" w:rsidRPr="006F0F1B" w:rsidRDefault="00C627AA" w:rsidP="009A398C">
      <w:pPr>
        <w:tabs>
          <w:tab w:val="right" w:pos="850"/>
          <w:tab w:val="left" w:pos="1134"/>
          <w:tab w:val="left" w:pos="1559"/>
          <w:tab w:val="left" w:pos="1984"/>
          <w:tab w:val="left" w:leader="dot" w:pos="7654"/>
          <w:tab w:val="right" w:pos="8929"/>
          <w:tab w:val="right" w:pos="9638"/>
        </w:tabs>
        <w:spacing w:after="120"/>
        <w:rPr>
          <w:lang w:val="fr-FR"/>
        </w:rPr>
      </w:pPr>
      <w:r w:rsidRPr="006F0F1B">
        <w:rPr>
          <w:lang w:val="fr-FR"/>
        </w:rPr>
        <w:tab/>
        <w:t>II.</w:t>
      </w:r>
      <w:r w:rsidRPr="006F0F1B">
        <w:rPr>
          <w:lang w:val="fr-FR"/>
        </w:rPr>
        <w:tab/>
        <w:t>Activités</w:t>
      </w:r>
      <w:r w:rsidRPr="006F0F1B">
        <w:rPr>
          <w:lang w:val="fr-FR"/>
        </w:rPr>
        <w:tab/>
      </w:r>
      <w:r w:rsidRPr="006F0F1B">
        <w:rPr>
          <w:lang w:val="fr-FR"/>
        </w:rPr>
        <w:tab/>
      </w:r>
      <w:r w:rsidRPr="006F0F1B">
        <w:rPr>
          <w:lang w:val="fr-FR"/>
        </w:rPr>
        <w:tab/>
      </w:r>
      <w:r w:rsidR="0075548F" w:rsidRPr="006F0F1B">
        <w:rPr>
          <w:lang w:val="fr-FR"/>
        </w:rPr>
        <w:t>3</w:t>
      </w:r>
      <w:r w:rsidR="00F95103">
        <w:rPr>
          <w:lang w:val="fr-FR"/>
        </w:rPr>
        <w:t>–</w:t>
      </w:r>
      <w:r w:rsidR="0075548F" w:rsidRPr="006F0F1B">
        <w:rPr>
          <w:lang w:val="fr-FR"/>
        </w:rPr>
        <w:t>7</w:t>
      </w:r>
      <w:r w:rsidR="0075548F" w:rsidRPr="006F0F1B">
        <w:rPr>
          <w:lang w:val="fr-FR"/>
        </w:rPr>
        <w:tab/>
        <w:t>3</w:t>
      </w:r>
    </w:p>
    <w:p w:rsidR="00C627AA" w:rsidRPr="006F0F1B" w:rsidRDefault="00C627AA" w:rsidP="009A398C">
      <w:pPr>
        <w:tabs>
          <w:tab w:val="right" w:pos="850"/>
          <w:tab w:val="left" w:pos="1134"/>
          <w:tab w:val="left" w:pos="1559"/>
          <w:tab w:val="left" w:pos="1984"/>
          <w:tab w:val="left" w:leader="dot" w:pos="7654"/>
          <w:tab w:val="right" w:pos="8929"/>
          <w:tab w:val="right" w:pos="9638"/>
        </w:tabs>
        <w:spacing w:after="120"/>
        <w:rPr>
          <w:lang w:val="fr-FR"/>
        </w:rPr>
      </w:pPr>
      <w:r w:rsidRPr="006F0F1B">
        <w:rPr>
          <w:lang w:val="fr-FR"/>
        </w:rPr>
        <w:tab/>
      </w:r>
      <w:r w:rsidRPr="006F0F1B">
        <w:rPr>
          <w:lang w:val="fr-FR"/>
        </w:rPr>
        <w:tab/>
        <w:t>A.</w:t>
      </w:r>
      <w:r w:rsidRPr="006F0F1B">
        <w:rPr>
          <w:lang w:val="fr-FR"/>
        </w:rPr>
        <w:tab/>
        <w:t>Sessions</w:t>
      </w:r>
      <w:r w:rsidRPr="006F0F1B">
        <w:rPr>
          <w:lang w:val="fr-FR"/>
        </w:rPr>
        <w:tab/>
      </w:r>
      <w:r w:rsidRPr="006F0F1B">
        <w:rPr>
          <w:lang w:val="fr-FR"/>
        </w:rPr>
        <w:tab/>
      </w:r>
      <w:r w:rsidR="0075548F" w:rsidRPr="006F0F1B">
        <w:rPr>
          <w:lang w:val="fr-FR"/>
        </w:rPr>
        <w:t>3</w:t>
      </w:r>
      <w:r w:rsidR="0075548F" w:rsidRPr="006F0F1B">
        <w:rPr>
          <w:lang w:val="fr-FR"/>
        </w:rPr>
        <w:tab/>
        <w:t>3</w:t>
      </w:r>
    </w:p>
    <w:p w:rsidR="00C627AA" w:rsidRPr="006F0F1B" w:rsidRDefault="00C627AA" w:rsidP="009A398C">
      <w:pPr>
        <w:tabs>
          <w:tab w:val="right" w:pos="850"/>
          <w:tab w:val="left" w:pos="1134"/>
          <w:tab w:val="left" w:pos="1559"/>
          <w:tab w:val="left" w:pos="1984"/>
          <w:tab w:val="left" w:leader="dot" w:pos="7654"/>
          <w:tab w:val="right" w:pos="8929"/>
          <w:tab w:val="right" w:pos="9638"/>
        </w:tabs>
        <w:spacing w:after="120"/>
        <w:rPr>
          <w:lang w:val="fr-FR"/>
        </w:rPr>
      </w:pPr>
      <w:r w:rsidRPr="006F0F1B">
        <w:rPr>
          <w:lang w:val="fr-FR"/>
        </w:rPr>
        <w:tab/>
      </w:r>
      <w:r w:rsidRPr="006F0F1B">
        <w:rPr>
          <w:lang w:val="fr-FR"/>
        </w:rPr>
        <w:tab/>
        <w:t>B.</w:t>
      </w:r>
      <w:r w:rsidRPr="006F0F1B">
        <w:rPr>
          <w:lang w:val="fr-FR"/>
        </w:rPr>
        <w:tab/>
      </w:r>
      <w:r w:rsidRPr="00A27B94">
        <w:rPr>
          <w:lang w:val="fr-FR"/>
        </w:rPr>
        <w:t xml:space="preserve">Visites </w:t>
      </w:r>
      <w:r w:rsidRPr="00273ABE">
        <w:rPr>
          <w:lang w:val="fr-FR"/>
        </w:rPr>
        <w:t>dans les</w:t>
      </w:r>
      <w:r w:rsidRPr="00A27B94">
        <w:rPr>
          <w:lang w:val="fr-FR"/>
        </w:rPr>
        <w:t xml:space="preserve"> pays</w:t>
      </w:r>
      <w:r w:rsidRPr="006F0F1B">
        <w:rPr>
          <w:lang w:val="fr-FR"/>
        </w:rPr>
        <w:tab/>
      </w:r>
      <w:r w:rsidRPr="006F0F1B">
        <w:rPr>
          <w:lang w:val="fr-FR"/>
        </w:rPr>
        <w:tab/>
      </w:r>
      <w:r w:rsidR="0075548F" w:rsidRPr="006F0F1B">
        <w:rPr>
          <w:lang w:val="fr-FR"/>
        </w:rPr>
        <w:t>4</w:t>
      </w:r>
      <w:r w:rsidR="0075548F" w:rsidRPr="006F0F1B">
        <w:rPr>
          <w:lang w:val="fr-FR"/>
        </w:rPr>
        <w:tab/>
        <w:t>3</w:t>
      </w:r>
    </w:p>
    <w:p w:rsidR="00C627AA" w:rsidRPr="006F0F1B" w:rsidRDefault="00C627AA" w:rsidP="009A398C">
      <w:pPr>
        <w:tabs>
          <w:tab w:val="right" w:pos="850"/>
          <w:tab w:val="left" w:pos="1134"/>
          <w:tab w:val="left" w:pos="1559"/>
          <w:tab w:val="left" w:pos="1984"/>
          <w:tab w:val="left" w:leader="dot" w:pos="7654"/>
          <w:tab w:val="right" w:pos="8929"/>
          <w:tab w:val="right" w:pos="9638"/>
        </w:tabs>
        <w:spacing w:after="120"/>
        <w:rPr>
          <w:lang w:val="fr-FR"/>
        </w:rPr>
      </w:pPr>
      <w:r w:rsidRPr="006F0F1B">
        <w:rPr>
          <w:lang w:val="fr-FR"/>
        </w:rPr>
        <w:tab/>
      </w:r>
      <w:r w:rsidRPr="006F0F1B">
        <w:rPr>
          <w:lang w:val="fr-FR"/>
        </w:rPr>
        <w:tab/>
        <w:t>C.</w:t>
      </w:r>
      <w:r w:rsidRPr="006F0F1B">
        <w:rPr>
          <w:lang w:val="fr-FR"/>
        </w:rPr>
        <w:tab/>
      </w:r>
      <w:r w:rsidR="00C0152B" w:rsidRPr="006F0F1B">
        <w:rPr>
          <w:lang w:val="fr-FR"/>
        </w:rPr>
        <w:t>Communications et communiqués de presse</w:t>
      </w:r>
      <w:r w:rsidRPr="006F0F1B">
        <w:rPr>
          <w:lang w:val="fr-FR"/>
        </w:rPr>
        <w:tab/>
      </w:r>
      <w:r w:rsidRPr="006F0F1B">
        <w:rPr>
          <w:lang w:val="fr-FR"/>
        </w:rPr>
        <w:tab/>
      </w:r>
      <w:r w:rsidR="0075548F" w:rsidRPr="006F0F1B">
        <w:rPr>
          <w:lang w:val="fr-FR"/>
        </w:rPr>
        <w:t>5</w:t>
      </w:r>
      <w:r w:rsidR="0075548F" w:rsidRPr="006F0F1B">
        <w:rPr>
          <w:lang w:val="fr-FR"/>
        </w:rPr>
        <w:tab/>
        <w:t>3</w:t>
      </w:r>
    </w:p>
    <w:p w:rsidR="00C627AA" w:rsidRPr="006F0F1B" w:rsidRDefault="00C627AA" w:rsidP="009A398C">
      <w:pPr>
        <w:tabs>
          <w:tab w:val="right" w:pos="850"/>
          <w:tab w:val="left" w:pos="1134"/>
          <w:tab w:val="left" w:pos="1559"/>
          <w:tab w:val="left" w:pos="1984"/>
          <w:tab w:val="left" w:leader="dot" w:pos="7654"/>
          <w:tab w:val="right" w:pos="8929"/>
          <w:tab w:val="right" w:pos="9638"/>
        </w:tabs>
        <w:spacing w:after="120"/>
        <w:rPr>
          <w:lang w:val="fr-FR"/>
        </w:rPr>
      </w:pPr>
      <w:r w:rsidRPr="006F0F1B">
        <w:rPr>
          <w:lang w:val="fr-FR"/>
        </w:rPr>
        <w:tab/>
      </w:r>
      <w:r w:rsidRPr="006F0F1B">
        <w:rPr>
          <w:lang w:val="fr-FR"/>
        </w:rPr>
        <w:tab/>
        <w:t>D.</w:t>
      </w:r>
      <w:r w:rsidRPr="006F0F1B">
        <w:rPr>
          <w:lang w:val="fr-FR"/>
        </w:rPr>
        <w:tab/>
      </w:r>
      <w:r w:rsidR="00C0152B" w:rsidRPr="006F0F1B">
        <w:rPr>
          <w:lang w:val="fr-FR"/>
        </w:rPr>
        <w:t>Commission de la condition de la femme</w:t>
      </w:r>
      <w:r w:rsidRPr="006F0F1B">
        <w:rPr>
          <w:lang w:val="fr-FR"/>
        </w:rPr>
        <w:tab/>
      </w:r>
      <w:r w:rsidRPr="006F0F1B">
        <w:rPr>
          <w:lang w:val="fr-FR"/>
        </w:rPr>
        <w:tab/>
      </w:r>
      <w:r w:rsidR="0075548F" w:rsidRPr="006F0F1B">
        <w:rPr>
          <w:lang w:val="fr-FR"/>
        </w:rPr>
        <w:t>6</w:t>
      </w:r>
      <w:r w:rsidR="0075548F" w:rsidRPr="006F0F1B">
        <w:rPr>
          <w:lang w:val="fr-FR"/>
        </w:rPr>
        <w:tab/>
      </w:r>
      <w:r w:rsidR="00306AA1" w:rsidRPr="006F0F1B">
        <w:rPr>
          <w:lang w:val="fr-FR"/>
        </w:rPr>
        <w:t>4</w:t>
      </w:r>
    </w:p>
    <w:p w:rsidR="00C0152B" w:rsidRPr="006F0F1B" w:rsidRDefault="00C0152B" w:rsidP="009A398C">
      <w:pPr>
        <w:tabs>
          <w:tab w:val="right" w:pos="850"/>
          <w:tab w:val="left" w:pos="1134"/>
          <w:tab w:val="left" w:pos="1559"/>
          <w:tab w:val="left" w:pos="1984"/>
          <w:tab w:val="left" w:leader="dot" w:pos="7654"/>
          <w:tab w:val="right" w:pos="8929"/>
          <w:tab w:val="right" w:pos="9638"/>
        </w:tabs>
        <w:spacing w:after="120"/>
        <w:rPr>
          <w:lang w:val="fr-FR"/>
        </w:rPr>
      </w:pPr>
      <w:r w:rsidRPr="006F0F1B">
        <w:rPr>
          <w:lang w:val="fr-FR"/>
        </w:rPr>
        <w:tab/>
      </w:r>
      <w:r w:rsidRPr="006F0F1B">
        <w:rPr>
          <w:lang w:val="fr-FR"/>
        </w:rPr>
        <w:tab/>
        <w:t>E.</w:t>
      </w:r>
      <w:r w:rsidRPr="006F0F1B">
        <w:rPr>
          <w:lang w:val="fr-FR"/>
        </w:rPr>
        <w:tab/>
        <w:t>Autres activités</w:t>
      </w:r>
      <w:r w:rsidRPr="006F0F1B">
        <w:rPr>
          <w:lang w:val="fr-FR"/>
        </w:rPr>
        <w:tab/>
      </w:r>
      <w:r w:rsidR="0075548F" w:rsidRPr="006F0F1B">
        <w:rPr>
          <w:lang w:val="fr-FR"/>
        </w:rPr>
        <w:tab/>
        <w:t>7</w:t>
      </w:r>
      <w:r w:rsidR="0075548F" w:rsidRPr="006F0F1B">
        <w:rPr>
          <w:lang w:val="fr-FR"/>
        </w:rPr>
        <w:tab/>
      </w:r>
      <w:r w:rsidR="00306AA1" w:rsidRPr="006F0F1B">
        <w:rPr>
          <w:lang w:val="fr-FR"/>
        </w:rPr>
        <w:t>4</w:t>
      </w:r>
    </w:p>
    <w:p w:rsidR="00C627AA" w:rsidRPr="006F0F1B" w:rsidRDefault="00C627AA" w:rsidP="00C1454D">
      <w:pPr>
        <w:tabs>
          <w:tab w:val="right" w:pos="850"/>
          <w:tab w:val="left" w:pos="1134"/>
          <w:tab w:val="left" w:pos="1559"/>
          <w:tab w:val="left" w:pos="1984"/>
          <w:tab w:val="left" w:leader="dot" w:pos="7654"/>
          <w:tab w:val="right" w:pos="8929"/>
          <w:tab w:val="right" w:pos="9638"/>
        </w:tabs>
        <w:spacing w:after="120"/>
        <w:rPr>
          <w:lang w:val="fr-FR"/>
        </w:rPr>
      </w:pPr>
      <w:r w:rsidRPr="006F0F1B">
        <w:rPr>
          <w:lang w:val="fr-FR"/>
        </w:rPr>
        <w:tab/>
        <w:t>III.</w:t>
      </w:r>
      <w:r w:rsidRPr="006F0F1B">
        <w:rPr>
          <w:lang w:val="fr-FR"/>
        </w:rPr>
        <w:tab/>
      </w:r>
      <w:r w:rsidR="00C0152B" w:rsidRPr="006F0F1B">
        <w:rPr>
          <w:lang w:val="fr-FR"/>
        </w:rPr>
        <w:t>Analyse thématique</w:t>
      </w:r>
      <w:r w:rsidR="005B0E15">
        <w:rPr>
          <w:lang w:val="fr-FR"/>
        </w:rPr>
        <w:t>:</w:t>
      </w:r>
      <w:r w:rsidR="00C0152B" w:rsidRPr="006F0F1B">
        <w:rPr>
          <w:lang w:val="fr-FR"/>
        </w:rPr>
        <w:t xml:space="preserve"> éliminer la discrimination à l’égard des femmes</w:t>
      </w:r>
      <w:r w:rsidR="00EE6822" w:rsidRPr="006F0F1B">
        <w:rPr>
          <w:lang w:val="fr-FR"/>
        </w:rPr>
        <w:br/>
      </w:r>
      <w:r w:rsidR="00EE6822" w:rsidRPr="006F0F1B">
        <w:rPr>
          <w:lang w:val="fr-FR"/>
        </w:rPr>
        <w:tab/>
      </w:r>
      <w:r w:rsidR="00EE6822" w:rsidRPr="006F0F1B">
        <w:rPr>
          <w:lang w:val="fr-FR"/>
        </w:rPr>
        <w:tab/>
      </w:r>
      <w:r w:rsidR="00C0152B" w:rsidRPr="006F0F1B">
        <w:rPr>
          <w:lang w:val="fr-FR"/>
        </w:rPr>
        <w:t xml:space="preserve">dans la </w:t>
      </w:r>
      <w:r w:rsidR="00C0152B" w:rsidRPr="00CC0FB5">
        <w:rPr>
          <w:lang w:val="fr-FR"/>
        </w:rPr>
        <w:t>vie culturelle</w:t>
      </w:r>
      <w:r w:rsidR="00C1454D" w:rsidRPr="00CC0FB5">
        <w:rPr>
          <w:lang w:val="fr-FR"/>
        </w:rPr>
        <w:t xml:space="preserve"> et familiale</w:t>
      </w:r>
      <w:r w:rsidR="00C0152B" w:rsidRPr="00273ABE">
        <w:rPr>
          <w:lang w:val="fr-FR"/>
        </w:rPr>
        <w:t>, notamment la famille comme espace culturel</w:t>
      </w:r>
      <w:r w:rsidRPr="006F0F1B">
        <w:rPr>
          <w:lang w:val="fr-FR"/>
        </w:rPr>
        <w:tab/>
      </w:r>
      <w:r w:rsidRPr="006F0F1B">
        <w:rPr>
          <w:lang w:val="fr-FR"/>
        </w:rPr>
        <w:tab/>
      </w:r>
      <w:r w:rsidR="0075548F" w:rsidRPr="006F0F1B">
        <w:rPr>
          <w:lang w:val="fr-FR"/>
        </w:rPr>
        <w:t>8</w:t>
      </w:r>
      <w:r w:rsidR="00F95103">
        <w:rPr>
          <w:lang w:val="fr-FR"/>
        </w:rPr>
        <w:t>–</w:t>
      </w:r>
      <w:r w:rsidR="0075548F" w:rsidRPr="006F0F1B">
        <w:rPr>
          <w:lang w:val="fr-FR"/>
        </w:rPr>
        <w:t>70</w:t>
      </w:r>
      <w:r w:rsidR="0075548F" w:rsidRPr="006F0F1B">
        <w:rPr>
          <w:lang w:val="fr-FR"/>
        </w:rPr>
        <w:tab/>
        <w:t>4</w:t>
      </w:r>
    </w:p>
    <w:p w:rsidR="00C0152B" w:rsidRPr="006F0F1B" w:rsidRDefault="00C0152B" w:rsidP="009A398C">
      <w:pPr>
        <w:tabs>
          <w:tab w:val="right" w:pos="850"/>
          <w:tab w:val="left" w:pos="1134"/>
          <w:tab w:val="left" w:pos="1559"/>
          <w:tab w:val="left" w:pos="1984"/>
          <w:tab w:val="left" w:leader="dot" w:pos="7654"/>
          <w:tab w:val="right" w:pos="8929"/>
          <w:tab w:val="right" w:pos="9638"/>
        </w:tabs>
        <w:spacing w:after="120"/>
        <w:rPr>
          <w:lang w:val="fr-FR"/>
        </w:rPr>
      </w:pPr>
      <w:r w:rsidRPr="006F0F1B">
        <w:rPr>
          <w:lang w:val="fr-FR"/>
        </w:rPr>
        <w:tab/>
      </w:r>
      <w:r w:rsidRPr="006F0F1B">
        <w:rPr>
          <w:lang w:val="fr-FR"/>
        </w:rPr>
        <w:tab/>
        <w:t>A.</w:t>
      </w:r>
      <w:r w:rsidRPr="006F0F1B">
        <w:rPr>
          <w:lang w:val="fr-FR"/>
        </w:rPr>
        <w:tab/>
        <w:t>La construction culturelle du genre</w:t>
      </w:r>
      <w:r w:rsidRPr="006F0F1B">
        <w:rPr>
          <w:lang w:val="fr-FR"/>
        </w:rPr>
        <w:tab/>
      </w:r>
      <w:r w:rsidRPr="006F0F1B">
        <w:rPr>
          <w:lang w:val="fr-FR"/>
        </w:rPr>
        <w:tab/>
      </w:r>
      <w:r w:rsidR="0075548F" w:rsidRPr="006F0F1B">
        <w:rPr>
          <w:lang w:val="fr-FR"/>
        </w:rPr>
        <w:t>10</w:t>
      </w:r>
      <w:r w:rsidR="00F95103">
        <w:rPr>
          <w:lang w:val="fr-FR"/>
        </w:rPr>
        <w:t>–</w:t>
      </w:r>
      <w:r w:rsidR="0075548F" w:rsidRPr="006F0F1B">
        <w:rPr>
          <w:lang w:val="fr-FR"/>
        </w:rPr>
        <w:t>22</w:t>
      </w:r>
      <w:r w:rsidR="0075548F" w:rsidRPr="006F0F1B">
        <w:rPr>
          <w:lang w:val="fr-FR"/>
        </w:rPr>
        <w:tab/>
      </w:r>
      <w:r w:rsidR="00306AA1" w:rsidRPr="006F0F1B">
        <w:rPr>
          <w:lang w:val="fr-FR"/>
        </w:rPr>
        <w:t>5</w:t>
      </w:r>
    </w:p>
    <w:p w:rsidR="00C0152B" w:rsidRPr="006F0F1B" w:rsidRDefault="00C0152B" w:rsidP="009A398C">
      <w:pPr>
        <w:tabs>
          <w:tab w:val="right" w:pos="850"/>
          <w:tab w:val="left" w:pos="1134"/>
          <w:tab w:val="left" w:pos="1559"/>
          <w:tab w:val="left" w:pos="1984"/>
          <w:tab w:val="left" w:leader="dot" w:pos="7654"/>
          <w:tab w:val="right" w:pos="8929"/>
          <w:tab w:val="right" w:pos="9638"/>
        </w:tabs>
        <w:spacing w:after="120"/>
        <w:rPr>
          <w:lang w:val="fr-FR"/>
        </w:rPr>
      </w:pPr>
      <w:r w:rsidRPr="006F0F1B">
        <w:rPr>
          <w:lang w:val="fr-FR"/>
        </w:rPr>
        <w:tab/>
      </w:r>
      <w:r w:rsidRPr="006F0F1B">
        <w:rPr>
          <w:lang w:val="fr-FR"/>
        </w:rPr>
        <w:tab/>
        <w:t>B.</w:t>
      </w:r>
      <w:r w:rsidRPr="006F0F1B">
        <w:rPr>
          <w:lang w:val="fr-FR"/>
        </w:rPr>
        <w:tab/>
        <w:t>La famille: aspects conceptuels et sociologiques</w:t>
      </w:r>
      <w:r w:rsidRPr="006F0F1B">
        <w:rPr>
          <w:lang w:val="fr-FR"/>
        </w:rPr>
        <w:tab/>
      </w:r>
      <w:r w:rsidRPr="006F0F1B">
        <w:rPr>
          <w:lang w:val="fr-FR"/>
        </w:rPr>
        <w:tab/>
      </w:r>
      <w:r w:rsidR="0075548F" w:rsidRPr="006F0F1B">
        <w:rPr>
          <w:lang w:val="fr-FR"/>
        </w:rPr>
        <w:t>23</w:t>
      </w:r>
      <w:r w:rsidR="00F95103">
        <w:rPr>
          <w:lang w:val="fr-FR"/>
        </w:rPr>
        <w:t>–</w:t>
      </w:r>
      <w:r w:rsidR="0075548F" w:rsidRPr="006F0F1B">
        <w:rPr>
          <w:lang w:val="fr-FR"/>
        </w:rPr>
        <w:t>36</w:t>
      </w:r>
      <w:r w:rsidR="0075548F" w:rsidRPr="006F0F1B">
        <w:rPr>
          <w:lang w:val="fr-FR"/>
        </w:rPr>
        <w:tab/>
        <w:t>8</w:t>
      </w:r>
    </w:p>
    <w:p w:rsidR="00C0152B" w:rsidRPr="006F0F1B" w:rsidRDefault="00C0152B" w:rsidP="004575B5">
      <w:pPr>
        <w:tabs>
          <w:tab w:val="right" w:pos="850"/>
          <w:tab w:val="left" w:pos="1134"/>
          <w:tab w:val="left" w:pos="1559"/>
          <w:tab w:val="left" w:pos="1984"/>
          <w:tab w:val="left" w:leader="dot" w:pos="7654"/>
          <w:tab w:val="right" w:pos="8929"/>
          <w:tab w:val="right" w:pos="9638"/>
        </w:tabs>
        <w:spacing w:after="120"/>
        <w:rPr>
          <w:lang w:val="fr-FR"/>
        </w:rPr>
      </w:pPr>
      <w:r w:rsidRPr="006F0F1B">
        <w:rPr>
          <w:lang w:val="fr-FR"/>
        </w:rPr>
        <w:tab/>
      </w:r>
      <w:r w:rsidRPr="006F0F1B">
        <w:rPr>
          <w:lang w:val="fr-FR"/>
        </w:rPr>
        <w:tab/>
        <w:t>C.</w:t>
      </w:r>
      <w:r w:rsidRPr="006F0F1B">
        <w:rPr>
          <w:lang w:val="fr-FR"/>
        </w:rPr>
        <w:tab/>
        <w:t xml:space="preserve">Les sources juridiques </w:t>
      </w:r>
      <w:r w:rsidR="004575B5">
        <w:rPr>
          <w:lang w:val="fr-FR"/>
        </w:rPr>
        <w:t xml:space="preserve">de </w:t>
      </w:r>
      <w:r w:rsidRPr="006F0F1B">
        <w:rPr>
          <w:lang w:val="fr-FR"/>
        </w:rPr>
        <w:t>réglementation de la famille</w:t>
      </w:r>
      <w:r w:rsidRPr="006F0F1B">
        <w:rPr>
          <w:lang w:val="fr-FR"/>
        </w:rPr>
        <w:tab/>
      </w:r>
      <w:r w:rsidRPr="006F0F1B">
        <w:rPr>
          <w:lang w:val="fr-FR"/>
        </w:rPr>
        <w:tab/>
      </w:r>
      <w:r w:rsidR="0075548F" w:rsidRPr="006F0F1B">
        <w:rPr>
          <w:lang w:val="fr-FR"/>
        </w:rPr>
        <w:t>37</w:t>
      </w:r>
      <w:r w:rsidR="00F95103">
        <w:rPr>
          <w:lang w:val="fr-FR"/>
        </w:rPr>
        <w:t>–</w:t>
      </w:r>
      <w:r w:rsidR="0075548F" w:rsidRPr="006F0F1B">
        <w:rPr>
          <w:lang w:val="fr-FR"/>
        </w:rPr>
        <w:t>61</w:t>
      </w:r>
      <w:r w:rsidR="0075548F" w:rsidRPr="006F0F1B">
        <w:rPr>
          <w:lang w:val="fr-FR"/>
        </w:rPr>
        <w:tab/>
        <w:t>1</w:t>
      </w:r>
      <w:r w:rsidR="004575B5">
        <w:rPr>
          <w:lang w:val="fr-FR"/>
        </w:rPr>
        <w:t>2</w:t>
      </w:r>
    </w:p>
    <w:p w:rsidR="0075548F" w:rsidRPr="006F0F1B" w:rsidRDefault="0075548F" w:rsidP="00962988">
      <w:pPr>
        <w:tabs>
          <w:tab w:val="right" w:pos="850"/>
          <w:tab w:val="left" w:pos="1134"/>
          <w:tab w:val="left" w:pos="1559"/>
          <w:tab w:val="left" w:pos="1984"/>
          <w:tab w:val="left" w:leader="dot" w:pos="7654"/>
          <w:tab w:val="right" w:pos="8929"/>
          <w:tab w:val="right" w:pos="9638"/>
        </w:tabs>
        <w:spacing w:after="120"/>
        <w:rPr>
          <w:lang w:val="fr-FR"/>
        </w:rPr>
      </w:pPr>
      <w:r w:rsidRPr="006F0F1B">
        <w:rPr>
          <w:lang w:val="fr-FR"/>
        </w:rPr>
        <w:tab/>
      </w:r>
      <w:r w:rsidRPr="006F0F1B">
        <w:rPr>
          <w:lang w:val="fr-FR"/>
        </w:rPr>
        <w:tab/>
        <w:t>D.</w:t>
      </w:r>
      <w:r w:rsidRPr="006F0F1B">
        <w:rPr>
          <w:lang w:val="fr-FR"/>
        </w:rPr>
        <w:tab/>
        <w:t>Rôle de l’</w:t>
      </w:r>
      <w:r w:rsidR="003551BA" w:rsidRPr="00ED069E">
        <w:rPr>
          <w:lang w:val="fr-FR"/>
        </w:rPr>
        <w:t>État</w:t>
      </w:r>
      <w:r w:rsidRPr="006F0F1B">
        <w:rPr>
          <w:lang w:val="fr-FR"/>
        </w:rPr>
        <w:t xml:space="preserve"> </w:t>
      </w:r>
      <w:r w:rsidR="00962988">
        <w:rPr>
          <w:lang w:val="fr-FR"/>
        </w:rPr>
        <w:t>dans le</w:t>
      </w:r>
      <w:r w:rsidR="00962988" w:rsidRPr="006F0F1B">
        <w:rPr>
          <w:lang w:val="fr-FR"/>
        </w:rPr>
        <w:t xml:space="preserve"> </w:t>
      </w:r>
      <w:r w:rsidRPr="006F0F1B">
        <w:rPr>
          <w:lang w:val="fr-FR"/>
        </w:rPr>
        <w:t xml:space="preserve">respect </w:t>
      </w:r>
      <w:r w:rsidR="00962988">
        <w:rPr>
          <w:lang w:val="fr-FR"/>
        </w:rPr>
        <w:t>du</w:t>
      </w:r>
      <w:r w:rsidRPr="006F0F1B">
        <w:rPr>
          <w:lang w:val="fr-FR"/>
        </w:rPr>
        <w:t xml:space="preserve"> droit à l’égalité des femmes et des filles</w:t>
      </w:r>
      <w:r w:rsidR="00EE6822" w:rsidRPr="006F0F1B">
        <w:rPr>
          <w:lang w:val="fr-FR"/>
        </w:rPr>
        <w:br/>
      </w:r>
      <w:r w:rsidR="00EE6822" w:rsidRPr="006F0F1B">
        <w:rPr>
          <w:lang w:val="fr-FR"/>
        </w:rPr>
        <w:tab/>
      </w:r>
      <w:r w:rsidR="00EE6822" w:rsidRPr="006F0F1B">
        <w:rPr>
          <w:lang w:val="fr-FR"/>
        </w:rPr>
        <w:tab/>
      </w:r>
      <w:r w:rsidR="00EE6822" w:rsidRPr="006F0F1B">
        <w:rPr>
          <w:lang w:val="fr-FR"/>
        </w:rPr>
        <w:tab/>
      </w:r>
      <w:r w:rsidRPr="006F0F1B">
        <w:rPr>
          <w:lang w:val="fr-FR"/>
        </w:rPr>
        <w:t>dans la vie culturelle et familiale</w:t>
      </w:r>
      <w:r w:rsidRPr="006F0F1B">
        <w:rPr>
          <w:lang w:val="fr-FR"/>
        </w:rPr>
        <w:tab/>
      </w:r>
      <w:r w:rsidRPr="006F0F1B">
        <w:rPr>
          <w:lang w:val="fr-FR"/>
        </w:rPr>
        <w:tab/>
        <w:t>62</w:t>
      </w:r>
      <w:r w:rsidR="00F95103">
        <w:rPr>
          <w:lang w:val="fr-FR"/>
        </w:rPr>
        <w:t>–</w:t>
      </w:r>
      <w:r w:rsidRPr="006F0F1B">
        <w:rPr>
          <w:lang w:val="fr-FR"/>
        </w:rPr>
        <w:t>70</w:t>
      </w:r>
      <w:r w:rsidRPr="006F0F1B">
        <w:rPr>
          <w:lang w:val="fr-FR"/>
        </w:rPr>
        <w:tab/>
        <w:t>16</w:t>
      </w:r>
    </w:p>
    <w:p w:rsidR="00EE6822" w:rsidRPr="006F0F1B" w:rsidRDefault="00C0152B" w:rsidP="004575B5">
      <w:pPr>
        <w:tabs>
          <w:tab w:val="right" w:pos="850"/>
          <w:tab w:val="left" w:pos="1134"/>
          <w:tab w:val="left" w:pos="1559"/>
          <w:tab w:val="left" w:pos="1984"/>
          <w:tab w:val="left" w:leader="dot" w:pos="7654"/>
          <w:tab w:val="right" w:pos="8929"/>
          <w:tab w:val="right" w:pos="9638"/>
        </w:tabs>
        <w:spacing w:after="120"/>
        <w:rPr>
          <w:lang w:val="fr-FR"/>
        </w:rPr>
      </w:pPr>
      <w:r w:rsidRPr="006F0F1B">
        <w:rPr>
          <w:lang w:val="fr-FR"/>
        </w:rPr>
        <w:tab/>
        <w:t>IV.</w:t>
      </w:r>
      <w:r w:rsidRPr="006F0F1B">
        <w:rPr>
          <w:lang w:val="fr-FR"/>
        </w:rPr>
        <w:tab/>
        <w:t>Conclusion</w:t>
      </w:r>
      <w:r w:rsidR="002B305E" w:rsidRPr="006F0F1B">
        <w:rPr>
          <w:lang w:val="fr-FR"/>
        </w:rPr>
        <w:t>s</w:t>
      </w:r>
      <w:r w:rsidRPr="006F0F1B">
        <w:rPr>
          <w:lang w:val="fr-FR"/>
        </w:rPr>
        <w:t xml:space="preserve"> et recommandations</w:t>
      </w:r>
      <w:r w:rsidRPr="006F0F1B">
        <w:rPr>
          <w:lang w:val="fr-FR"/>
        </w:rPr>
        <w:tab/>
      </w:r>
      <w:r w:rsidR="0075548F" w:rsidRPr="006F0F1B">
        <w:rPr>
          <w:lang w:val="fr-FR"/>
        </w:rPr>
        <w:tab/>
        <w:t>71</w:t>
      </w:r>
      <w:r w:rsidR="00F95103">
        <w:rPr>
          <w:lang w:val="fr-FR"/>
        </w:rPr>
        <w:t>–</w:t>
      </w:r>
      <w:r w:rsidR="0075548F" w:rsidRPr="006F0F1B">
        <w:rPr>
          <w:lang w:val="fr-FR"/>
        </w:rPr>
        <w:t>7</w:t>
      </w:r>
      <w:r w:rsidR="004575B5">
        <w:rPr>
          <w:lang w:val="fr-FR"/>
        </w:rPr>
        <w:t>4</w:t>
      </w:r>
      <w:r w:rsidRPr="006F0F1B">
        <w:rPr>
          <w:lang w:val="fr-FR"/>
        </w:rPr>
        <w:tab/>
      </w:r>
      <w:r w:rsidR="0075548F" w:rsidRPr="006F0F1B">
        <w:rPr>
          <w:lang w:val="fr-FR"/>
        </w:rPr>
        <w:t>1</w:t>
      </w:r>
      <w:r w:rsidR="004575B5">
        <w:rPr>
          <w:lang w:val="fr-FR"/>
        </w:rPr>
        <w:t>8</w:t>
      </w:r>
    </w:p>
    <w:p w:rsidR="006879D2" w:rsidRPr="006F0F1B" w:rsidRDefault="00EE6822" w:rsidP="006879D2">
      <w:pPr>
        <w:pStyle w:val="HChG"/>
        <w:rPr>
          <w:lang w:val="fr-FR"/>
        </w:rPr>
      </w:pPr>
      <w:r w:rsidRPr="006F0F1B">
        <w:rPr>
          <w:lang w:val="fr-FR"/>
        </w:rPr>
        <w:br w:type="page"/>
      </w:r>
      <w:bookmarkStart w:id="1" w:name="_Toc412190756"/>
      <w:bookmarkStart w:id="2" w:name="_Toc414009666"/>
      <w:r w:rsidR="006879D2" w:rsidRPr="006F0F1B">
        <w:rPr>
          <w:lang w:val="fr-FR"/>
        </w:rPr>
        <w:lastRenderedPageBreak/>
        <w:tab/>
        <w:t>I.</w:t>
      </w:r>
      <w:r w:rsidR="006879D2" w:rsidRPr="006F0F1B">
        <w:rPr>
          <w:lang w:val="fr-FR"/>
        </w:rPr>
        <w:tab/>
        <w:t>Introduction</w:t>
      </w:r>
      <w:bookmarkEnd w:id="1"/>
      <w:bookmarkEnd w:id="2"/>
    </w:p>
    <w:p w:rsidR="006879D2" w:rsidRPr="006F0F1B" w:rsidRDefault="006879D2" w:rsidP="00C1454D">
      <w:pPr>
        <w:pStyle w:val="SingleTxtG"/>
        <w:numPr>
          <w:ilvl w:val="0"/>
          <w:numId w:val="33"/>
        </w:numPr>
        <w:ind w:left="1134" w:firstLine="0"/>
        <w:rPr>
          <w:rFonts w:eastAsia="Calibri"/>
          <w:lang w:val="fr-FR"/>
        </w:rPr>
      </w:pPr>
      <w:r w:rsidRPr="006F0F1B">
        <w:rPr>
          <w:rFonts w:eastAsia="Calibri"/>
          <w:lang w:val="fr-FR"/>
        </w:rPr>
        <w:t xml:space="preserve">Le présent rapport est soumis en application des </w:t>
      </w:r>
      <w:r w:rsidRPr="00DA64F5">
        <w:rPr>
          <w:rFonts w:eastAsia="Calibri"/>
          <w:lang w:val="fr-FR"/>
        </w:rPr>
        <w:t>résolutions 15/23 et 2</w:t>
      </w:r>
      <w:r w:rsidR="008629E3" w:rsidRPr="00273ABE">
        <w:rPr>
          <w:rFonts w:eastAsia="Calibri"/>
          <w:lang w:val="fr-FR"/>
        </w:rPr>
        <w:t>6</w:t>
      </w:r>
      <w:r w:rsidRPr="00DA64F5">
        <w:rPr>
          <w:rFonts w:eastAsia="Calibri"/>
          <w:lang w:val="fr-FR"/>
        </w:rPr>
        <w:t>/</w:t>
      </w:r>
      <w:r w:rsidR="008629E3" w:rsidRPr="00DA64F5">
        <w:rPr>
          <w:rFonts w:eastAsia="Calibri"/>
          <w:lang w:val="fr-FR"/>
        </w:rPr>
        <w:t>5</w:t>
      </w:r>
      <w:r w:rsidRPr="00DA64F5">
        <w:rPr>
          <w:rFonts w:eastAsia="Calibri"/>
          <w:lang w:val="fr-FR"/>
        </w:rPr>
        <w:t xml:space="preserve"> du Conseil des droits de l’homme</w:t>
      </w:r>
      <w:r w:rsidRPr="00E32163">
        <w:rPr>
          <w:rFonts w:eastAsia="Calibri"/>
          <w:lang w:val="fr-FR"/>
        </w:rPr>
        <w:t>. Da</w:t>
      </w:r>
      <w:r w:rsidRPr="006F0F1B">
        <w:rPr>
          <w:rFonts w:eastAsia="Calibri"/>
          <w:lang w:val="fr-FR"/>
        </w:rPr>
        <w:t xml:space="preserve">ns </w:t>
      </w:r>
      <w:r w:rsidRPr="001D7008">
        <w:rPr>
          <w:rFonts w:eastAsia="Calibri"/>
          <w:lang w:val="fr-FR"/>
        </w:rPr>
        <w:t xml:space="preserve">le chapitre II, </w:t>
      </w:r>
      <w:r w:rsidRPr="005E778E">
        <w:rPr>
          <w:rFonts w:eastAsia="Calibri"/>
          <w:lang w:val="fr-FR"/>
        </w:rPr>
        <w:t>le</w:t>
      </w:r>
      <w:r w:rsidRPr="00A27B94">
        <w:rPr>
          <w:rFonts w:eastAsia="Calibri"/>
          <w:lang w:val="fr-FR"/>
        </w:rPr>
        <w:t xml:space="preserve"> Groupe </w:t>
      </w:r>
      <w:r w:rsidR="00FE5207" w:rsidRPr="00273ABE">
        <w:rPr>
          <w:rFonts w:eastAsia="Calibri"/>
          <w:lang w:val="fr-FR"/>
        </w:rPr>
        <w:t xml:space="preserve">de travail </w:t>
      </w:r>
      <w:r w:rsidRPr="00A27B94">
        <w:rPr>
          <w:rFonts w:eastAsia="Calibri"/>
          <w:lang w:val="fr-FR"/>
        </w:rPr>
        <w:t>résume</w:t>
      </w:r>
      <w:r w:rsidRPr="006F0F1B">
        <w:rPr>
          <w:rFonts w:eastAsia="Calibri"/>
          <w:lang w:val="fr-FR"/>
        </w:rPr>
        <w:t xml:space="preserve"> </w:t>
      </w:r>
      <w:r w:rsidR="00FE5207">
        <w:rPr>
          <w:rFonts w:eastAsia="Calibri"/>
          <w:lang w:val="fr-FR"/>
        </w:rPr>
        <w:t>l</w:t>
      </w:r>
      <w:r w:rsidRPr="006F0F1B">
        <w:rPr>
          <w:rFonts w:eastAsia="Calibri"/>
          <w:lang w:val="fr-FR"/>
        </w:rPr>
        <w:t xml:space="preserve">es activités </w:t>
      </w:r>
      <w:r w:rsidR="00FE5207">
        <w:rPr>
          <w:rFonts w:eastAsia="Calibri"/>
          <w:lang w:val="fr-FR"/>
        </w:rPr>
        <w:t xml:space="preserve">qu’il a menées </w:t>
      </w:r>
      <w:r w:rsidRPr="006F0F1B">
        <w:rPr>
          <w:rFonts w:eastAsia="Calibri"/>
          <w:lang w:val="fr-FR"/>
        </w:rPr>
        <w:t xml:space="preserve">depuis son dernier rapport au </w:t>
      </w:r>
      <w:r w:rsidR="003B1BF8" w:rsidRPr="006F0F1B">
        <w:rPr>
          <w:rFonts w:eastAsia="Calibri"/>
          <w:lang w:val="fr-FR"/>
        </w:rPr>
        <w:t>Conseil des droits de l’homme</w:t>
      </w:r>
      <w:r w:rsidR="00CD2281">
        <w:rPr>
          <w:rFonts w:eastAsia="Calibri"/>
          <w:lang w:val="fr-FR"/>
        </w:rPr>
        <w:t xml:space="preserve"> </w:t>
      </w:r>
      <w:r w:rsidR="00CD2281" w:rsidRPr="000529DC">
        <w:rPr>
          <w:rFonts w:eastAsia="Calibri"/>
          <w:lang w:val="fr-FR"/>
        </w:rPr>
        <w:t>(</w:t>
      </w:r>
      <w:r w:rsidR="000529DC" w:rsidRPr="00273ABE">
        <w:rPr>
          <w:rFonts w:eastAsia="Calibri"/>
          <w:lang w:val="fr-FR"/>
        </w:rPr>
        <w:t>A/HRC/26/39</w:t>
      </w:r>
      <w:r w:rsidR="00CD2281" w:rsidRPr="000529DC">
        <w:rPr>
          <w:rFonts w:eastAsia="Calibri"/>
          <w:lang w:val="fr-FR"/>
        </w:rPr>
        <w:t>)</w:t>
      </w:r>
      <w:r w:rsidRPr="006F0F1B">
        <w:rPr>
          <w:rFonts w:eastAsia="Calibri"/>
          <w:lang w:val="fr-FR"/>
        </w:rPr>
        <w:t xml:space="preserve"> jusqu’</w:t>
      </w:r>
      <w:r w:rsidR="001A500B" w:rsidRPr="006F0F1B">
        <w:rPr>
          <w:rFonts w:eastAsia="Calibri"/>
          <w:lang w:val="fr-FR"/>
        </w:rPr>
        <w:t>en</w:t>
      </w:r>
      <w:r w:rsidR="003551BA">
        <w:rPr>
          <w:rFonts w:eastAsia="Calibri"/>
          <w:lang w:val="fr-FR"/>
        </w:rPr>
        <w:t xml:space="preserve"> </w:t>
      </w:r>
      <w:r w:rsidRPr="006F0F1B">
        <w:rPr>
          <w:rFonts w:eastAsia="Calibri"/>
          <w:lang w:val="fr-FR"/>
        </w:rPr>
        <w:t xml:space="preserve">mars 2015. Dans le chapitre III, il s’intéresse à la discrimination à l’égard des femmes dans la vie </w:t>
      </w:r>
      <w:r w:rsidR="00C1454D">
        <w:rPr>
          <w:rFonts w:eastAsia="Calibri"/>
          <w:lang w:val="fr-FR"/>
        </w:rPr>
        <w:t xml:space="preserve">culturelle et </w:t>
      </w:r>
      <w:r w:rsidRPr="006F0F1B">
        <w:rPr>
          <w:rFonts w:eastAsia="Calibri"/>
          <w:lang w:val="fr-FR"/>
        </w:rPr>
        <w:t xml:space="preserve">familiale. </w:t>
      </w:r>
    </w:p>
    <w:p w:rsidR="006879D2" w:rsidRPr="006F0F1B" w:rsidRDefault="001438CE" w:rsidP="004740EB">
      <w:pPr>
        <w:pStyle w:val="SingleTxtG"/>
        <w:numPr>
          <w:ilvl w:val="0"/>
          <w:numId w:val="33"/>
        </w:numPr>
        <w:ind w:left="1134" w:firstLine="0"/>
        <w:rPr>
          <w:rFonts w:eastAsia="Calibri"/>
          <w:lang w:val="fr-FR"/>
        </w:rPr>
      </w:pPr>
      <w:r>
        <w:rPr>
          <w:rFonts w:eastAsia="Calibri"/>
          <w:lang w:val="fr-FR"/>
        </w:rPr>
        <w:t>L</w:t>
      </w:r>
      <w:r w:rsidR="006879D2" w:rsidRPr="006F0F1B">
        <w:rPr>
          <w:rFonts w:eastAsia="Calibri"/>
          <w:lang w:val="fr-FR"/>
        </w:rPr>
        <w:t xml:space="preserve">es fonctions de Présidente-Rapporteuse et de Vice-Présidente du Groupe </w:t>
      </w:r>
      <w:r w:rsidR="00FE5207">
        <w:rPr>
          <w:rFonts w:eastAsia="Calibri"/>
          <w:lang w:val="fr-FR"/>
        </w:rPr>
        <w:t xml:space="preserve">de travail </w:t>
      </w:r>
      <w:r>
        <w:rPr>
          <w:rFonts w:eastAsia="Calibri"/>
          <w:lang w:val="fr-FR"/>
        </w:rPr>
        <w:t xml:space="preserve">ont été assurées respectivement </w:t>
      </w:r>
      <w:r w:rsidRPr="001D7008">
        <w:rPr>
          <w:rFonts w:eastAsia="Calibri"/>
          <w:lang w:val="fr-FR"/>
        </w:rPr>
        <w:t xml:space="preserve">par </w:t>
      </w:r>
      <w:r w:rsidRPr="00273ABE">
        <w:rPr>
          <w:rFonts w:eastAsia="Calibri"/>
          <w:lang w:val="fr-FR"/>
        </w:rPr>
        <w:t>Frances Raday et Emna Aouij</w:t>
      </w:r>
      <w:r w:rsidRPr="001D7008">
        <w:rPr>
          <w:rFonts w:eastAsia="Calibri"/>
          <w:lang w:val="fr-FR"/>
        </w:rPr>
        <w:t xml:space="preserve"> </w:t>
      </w:r>
      <w:r w:rsidR="006879D2" w:rsidRPr="005E778E">
        <w:rPr>
          <w:rFonts w:eastAsia="Calibri"/>
          <w:lang w:val="fr-FR"/>
        </w:rPr>
        <w:t>jusqu’</w:t>
      </w:r>
      <w:r w:rsidR="00951256" w:rsidRPr="00273ABE">
        <w:rPr>
          <w:rFonts w:eastAsia="Calibri"/>
          <w:lang w:val="fr-FR"/>
        </w:rPr>
        <w:t>en</w:t>
      </w:r>
      <w:r w:rsidR="006879D2" w:rsidRPr="006F0F1B">
        <w:rPr>
          <w:rFonts w:eastAsia="Calibri"/>
          <w:lang w:val="fr-FR"/>
        </w:rPr>
        <w:t xml:space="preserve"> </w:t>
      </w:r>
      <w:r w:rsidR="006879D2" w:rsidRPr="007B0303">
        <w:rPr>
          <w:rFonts w:eastAsia="Calibri"/>
          <w:lang w:val="fr-FR"/>
        </w:rPr>
        <w:t>janvier 2015</w:t>
      </w:r>
      <w:r w:rsidR="00FE5207" w:rsidRPr="007B0303">
        <w:rPr>
          <w:rFonts w:eastAsia="Calibri"/>
          <w:lang w:val="fr-FR"/>
        </w:rPr>
        <w:t>,</w:t>
      </w:r>
      <w:r w:rsidR="00FE5207">
        <w:rPr>
          <w:rFonts w:eastAsia="Calibri"/>
          <w:lang w:val="fr-FR"/>
        </w:rPr>
        <w:t xml:space="preserve"> </w:t>
      </w:r>
      <w:r>
        <w:rPr>
          <w:rFonts w:eastAsia="Calibri"/>
          <w:lang w:val="fr-FR"/>
        </w:rPr>
        <w:t xml:space="preserve">puis respectivement par </w:t>
      </w:r>
      <w:r w:rsidR="006879D2" w:rsidRPr="006F0F1B">
        <w:rPr>
          <w:rFonts w:eastAsia="Calibri"/>
          <w:lang w:val="fr-FR"/>
        </w:rPr>
        <w:t xml:space="preserve">Emna Aouij </w:t>
      </w:r>
      <w:r w:rsidR="001A500B" w:rsidRPr="006F0F1B">
        <w:rPr>
          <w:rFonts w:eastAsia="Calibri"/>
          <w:lang w:val="fr-FR"/>
        </w:rPr>
        <w:t>et Eleonora Zielinska</w:t>
      </w:r>
      <w:r w:rsidR="006879D2" w:rsidRPr="006F0F1B">
        <w:rPr>
          <w:rFonts w:eastAsia="Calibri"/>
          <w:lang w:val="fr-FR"/>
        </w:rPr>
        <w:t>.</w:t>
      </w:r>
    </w:p>
    <w:p w:rsidR="006879D2" w:rsidRPr="006F0F1B" w:rsidRDefault="006879D2" w:rsidP="006879D2">
      <w:pPr>
        <w:pStyle w:val="HChG"/>
        <w:rPr>
          <w:lang w:val="fr-FR"/>
        </w:rPr>
      </w:pPr>
      <w:bookmarkStart w:id="3" w:name="_Toc412190757"/>
      <w:bookmarkStart w:id="4" w:name="_Toc414009667"/>
      <w:r w:rsidRPr="006F0F1B">
        <w:rPr>
          <w:lang w:val="fr-FR"/>
        </w:rPr>
        <w:tab/>
        <w:t>II.</w:t>
      </w:r>
      <w:r w:rsidRPr="006F0F1B">
        <w:rPr>
          <w:lang w:val="fr-FR"/>
        </w:rPr>
        <w:tab/>
        <w:t>Activités</w:t>
      </w:r>
      <w:bookmarkEnd w:id="3"/>
      <w:bookmarkEnd w:id="4"/>
    </w:p>
    <w:p w:rsidR="006879D2" w:rsidRPr="006F0F1B" w:rsidRDefault="006879D2" w:rsidP="006879D2">
      <w:pPr>
        <w:pStyle w:val="H1G"/>
        <w:rPr>
          <w:lang w:val="fr-FR"/>
        </w:rPr>
      </w:pPr>
      <w:bookmarkStart w:id="5" w:name="_Toc412190758"/>
      <w:r w:rsidRPr="006F0F1B">
        <w:rPr>
          <w:lang w:val="fr-FR"/>
        </w:rPr>
        <w:tab/>
        <w:t>A.</w:t>
      </w:r>
      <w:r w:rsidRPr="006F0F1B">
        <w:rPr>
          <w:lang w:val="fr-FR"/>
        </w:rPr>
        <w:tab/>
        <w:t>Sessions</w:t>
      </w:r>
      <w:bookmarkEnd w:id="5"/>
    </w:p>
    <w:p w:rsidR="006879D2" w:rsidRPr="006F0F1B" w:rsidRDefault="006879D2" w:rsidP="001F1655">
      <w:pPr>
        <w:pStyle w:val="SingleTxtG"/>
        <w:numPr>
          <w:ilvl w:val="0"/>
          <w:numId w:val="33"/>
        </w:numPr>
        <w:ind w:left="1134" w:firstLine="0"/>
        <w:rPr>
          <w:rFonts w:eastAsia="Calibri"/>
          <w:lang w:val="fr-FR"/>
        </w:rPr>
      </w:pPr>
      <w:r w:rsidRPr="006F0F1B">
        <w:rPr>
          <w:rFonts w:eastAsia="Calibri"/>
          <w:lang w:val="fr-FR"/>
        </w:rPr>
        <w:t>Le Groupe d</w:t>
      </w:r>
      <w:r w:rsidR="00FE5207">
        <w:rPr>
          <w:rFonts w:eastAsia="Calibri"/>
          <w:lang w:val="fr-FR"/>
        </w:rPr>
        <w:t xml:space="preserve">e travail </w:t>
      </w:r>
      <w:r w:rsidR="002F2910">
        <w:rPr>
          <w:rFonts w:eastAsia="Calibri"/>
          <w:lang w:val="fr-FR"/>
        </w:rPr>
        <w:t xml:space="preserve">a tenu </w:t>
      </w:r>
      <w:r w:rsidRPr="006F0F1B">
        <w:rPr>
          <w:rFonts w:eastAsia="Calibri"/>
          <w:lang w:val="fr-FR"/>
        </w:rPr>
        <w:t xml:space="preserve">trois sessions au cours de la période à l’examen. </w:t>
      </w:r>
      <w:r w:rsidR="003551BA" w:rsidRPr="00ED069E">
        <w:rPr>
          <w:rFonts w:eastAsia="Calibri"/>
          <w:lang w:val="fr-FR"/>
        </w:rPr>
        <w:t>À</w:t>
      </w:r>
      <w:r w:rsidRPr="006F0F1B">
        <w:rPr>
          <w:rFonts w:eastAsia="Calibri"/>
          <w:lang w:val="fr-FR"/>
        </w:rPr>
        <w:t xml:space="preserve"> sa </w:t>
      </w:r>
      <w:r w:rsidR="00161EB5" w:rsidRPr="00DA64F5">
        <w:rPr>
          <w:rFonts w:eastAsia="Calibri"/>
          <w:lang w:val="fr-FR"/>
        </w:rPr>
        <w:t xml:space="preserve">dixième </w:t>
      </w:r>
      <w:r w:rsidRPr="00E32163">
        <w:rPr>
          <w:rFonts w:eastAsia="Calibri"/>
          <w:lang w:val="fr-FR"/>
        </w:rPr>
        <w:t>session (5-9</w:t>
      </w:r>
      <w:r w:rsidR="007F007B" w:rsidRPr="00E32163">
        <w:rPr>
          <w:rFonts w:eastAsia="Calibri"/>
          <w:lang w:val="fr-FR"/>
        </w:rPr>
        <w:t> </w:t>
      </w:r>
      <w:r w:rsidRPr="00E32163">
        <w:rPr>
          <w:rFonts w:eastAsia="Calibri"/>
          <w:lang w:val="fr-FR"/>
        </w:rPr>
        <w:t>mai 2014</w:t>
      </w:r>
      <w:r w:rsidR="001438CE" w:rsidRPr="00273ABE">
        <w:rPr>
          <w:rFonts w:eastAsia="Calibri"/>
          <w:lang w:val="fr-FR"/>
        </w:rPr>
        <w:t>,</w:t>
      </w:r>
      <w:r w:rsidRPr="00DA64F5">
        <w:rPr>
          <w:rFonts w:eastAsia="Calibri"/>
          <w:lang w:val="fr-FR"/>
        </w:rPr>
        <w:t xml:space="preserve"> à Genève), </w:t>
      </w:r>
      <w:r w:rsidR="00CD2281">
        <w:rPr>
          <w:rFonts w:eastAsia="Calibri"/>
          <w:lang w:val="fr-FR"/>
        </w:rPr>
        <w:t>il</w:t>
      </w:r>
      <w:r w:rsidRPr="00DA64F5">
        <w:rPr>
          <w:rFonts w:eastAsia="Calibri"/>
          <w:lang w:val="fr-FR"/>
        </w:rPr>
        <w:t xml:space="preserve"> s’est entretenu avec un nombre de parties prenantes, les entités compétentes du Secrétariat de l’ONU et d’autres experts sur diverses questions </w:t>
      </w:r>
      <w:r w:rsidR="00FE5207" w:rsidRPr="00DA64F5">
        <w:rPr>
          <w:rFonts w:eastAsia="Calibri"/>
          <w:lang w:val="fr-FR"/>
        </w:rPr>
        <w:t xml:space="preserve">relatives </w:t>
      </w:r>
      <w:r w:rsidRPr="00DA64F5">
        <w:rPr>
          <w:rFonts w:eastAsia="Calibri"/>
          <w:lang w:val="fr-FR"/>
        </w:rPr>
        <w:t xml:space="preserve">aux femmes dans la vie culturelle et familiale. </w:t>
      </w:r>
      <w:r w:rsidR="003551BA" w:rsidRPr="00E32163">
        <w:rPr>
          <w:rFonts w:eastAsia="Calibri"/>
          <w:lang w:val="fr-FR"/>
        </w:rPr>
        <w:t>À</w:t>
      </w:r>
      <w:r w:rsidRPr="00E32163">
        <w:rPr>
          <w:rFonts w:eastAsia="Calibri"/>
          <w:lang w:val="fr-FR"/>
        </w:rPr>
        <w:t xml:space="preserve"> sa </w:t>
      </w:r>
      <w:r w:rsidR="00161EB5" w:rsidRPr="00E32163">
        <w:rPr>
          <w:rFonts w:eastAsia="Calibri"/>
          <w:lang w:val="fr-FR"/>
        </w:rPr>
        <w:t xml:space="preserve">onzième </w:t>
      </w:r>
      <w:r w:rsidRPr="00420B2F">
        <w:rPr>
          <w:rFonts w:eastAsia="Calibri"/>
          <w:lang w:val="fr-FR"/>
        </w:rPr>
        <w:t>session (10</w:t>
      </w:r>
      <w:r w:rsidR="001F1655">
        <w:rPr>
          <w:rFonts w:eastAsia="Calibri"/>
          <w:lang w:val="fr-FR"/>
        </w:rPr>
        <w:noBreakHyphen/>
      </w:r>
      <w:r w:rsidRPr="00420B2F">
        <w:rPr>
          <w:rFonts w:eastAsia="Calibri"/>
          <w:lang w:val="fr-FR"/>
        </w:rPr>
        <w:t>16</w:t>
      </w:r>
      <w:r w:rsidR="007F007B" w:rsidRPr="00420B2F">
        <w:rPr>
          <w:rFonts w:eastAsia="Calibri"/>
          <w:lang w:val="fr-FR"/>
        </w:rPr>
        <w:t> </w:t>
      </w:r>
      <w:r w:rsidRPr="00420B2F">
        <w:rPr>
          <w:rFonts w:eastAsia="Calibri"/>
          <w:lang w:val="fr-FR"/>
        </w:rPr>
        <w:t>octobre 2014</w:t>
      </w:r>
      <w:r w:rsidR="001438CE" w:rsidRPr="00420B2F">
        <w:rPr>
          <w:rFonts w:eastAsia="Calibri"/>
          <w:lang w:val="fr-FR"/>
        </w:rPr>
        <w:t>,</w:t>
      </w:r>
      <w:r w:rsidRPr="00420B2F">
        <w:rPr>
          <w:rFonts w:eastAsia="Calibri"/>
          <w:lang w:val="fr-FR"/>
        </w:rPr>
        <w:t xml:space="preserve"> à</w:t>
      </w:r>
      <w:r w:rsidRPr="006F0F1B">
        <w:rPr>
          <w:rFonts w:eastAsia="Calibri"/>
          <w:lang w:val="fr-FR"/>
        </w:rPr>
        <w:t xml:space="preserve"> Genève), le </w:t>
      </w:r>
      <w:r w:rsidR="00736F92">
        <w:rPr>
          <w:rFonts w:eastAsia="Calibri"/>
          <w:lang w:val="fr-FR"/>
        </w:rPr>
        <w:t>Groupe de travail</w:t>
      </w:r>
      <w:r w:rsidR="002D54FB" w:rsidRPr="006F0F1B">
        <w:rPr>
          <w:rFonts w:eastAsia="Calibri"/>
          <w:lang w:val="fr-FR"/>
        </w:rPr>
        <w:t xml:space="preserve"> </w:t>
      </w:r>
      <w:r w:rsidRPr="006F0F1B">
        <w:rPr>
          <w:rFonts w:eastAsia="Calibri"/>
          <w:lang w:val="fr-FR"/>
        </w:rPr>
        <w:t>a poursui</w:t>
      </w:r>
      <w:r w:rsidR="00FE5207">
        <w:rPr>
          <w:rFonts w:eastAsia="Calibri"/>
          <w:lang w:val="fr-FR"/>
        </w:rPr>
        <w:t>vi</w:t>
      </w:r>
      <w:r w:rsidRPr="006F0F1B">
        <w:rPr>
          <w:rFonts w:eastAsia="Calibri"/>
          <w:lang w:val="fr-FR"/>
        </w:rPr>
        <w:t xml:space="preserve"> ses consultations avec plusieurs parties prenantes, notamment avec </w:t>
      </w:r>
      <w:r w:rsidR="001A500B" w:rsidRPr="006F0F1B">
        <w:rPr>
          <w:rFonts w:eastAsia="Calibri"/>
          <w:lang w:val="fr-FR"/>
        </w:rPr>
        <w:t>l’</w:t>
      </w:r>
      <w:r w:rsidR="00451343">
        <w:rPr>
          <w:rFonts w:eastAsia="Calibri"/>
          <w:lang w:val="fr-FR"/>
        </w:rPr>
        <w:t xml:space="preserve">Organisation internationale du Travail </w:t>
      </w:r>
      <w:r w:rsidRPr="006F0F1B">
        <w:rPr>
          <w:rFonts w:eastAsia="Calibri"/>
          <w:lang w:val="fr-FR"/>
        </w:rPr>
        <w:t xml:space="preserve">et certains départements du </w:t>
      </w:r>
      <w:r w:rsidR="00161EB5">
        <w:rPr>
          <w:rFonts w:eastAsia="Calibri"/>
          <w:lang w:val="fr-FR"/>
        </w:rPr>
        <w:t>Haut-Commissariat des Nations Unies aux droits de l’homme</w:t>
      </w:r>
      <w:r w:rsidRPr="006F0F1B">
        <w:rPr>
          <w:rFonts w:eastAsia="Calibri"/>
          <w:lang w:val="fr-FR"/>
        </w:rPr>
        <w:t xml:space="preserve">. Afin d’assurer un suivi de la </w:t>
      </w:r>
      <w:r w:rsidRPr="00CC0FB5">
        <w:rPr>
          <w:rFonts w:eastAsia="Calibri"/>
          <w:lang w:val="fr-FR"/>
        </w:rPr>
        <w:t xml:space="preserve">première rencontre </w:t>
      </w:r>
      <w:r w:rsidR="00963C67" w:rsidRPr="00273ABE">
        <w:rPr>
          <w:rFonts w:eastAsia="Calibri"/>
          <w:lang w:val="fr-FR"/>
        </w:rPr>
        <w:t xml:space="preserve">qu’il avait </w:t>
      </w:r>
      <w:r w:rsidRPr="00CC0FB5">
        <w:rPr>
          <w:rFonts w:eastAsia="Calibri"/>
          <w:lang w:val="fr-FR"/>
        </w:rPr>
        <w:t>organisée en 2013, le</w:t>
      </w:r>
      <w:r w:rsidRPr="006F0F1B">
        <w:rPr>
          <w:rFonts w:eastAsia="Calibri"/>
          <w:lang w:val="fr-FR"/>
        </w:rPr>
        <w:t xml:space="preserve"> Groupe </w:t>
      </w:r>
      <w:r w:rsidR="00451343">
        <w:rPr>
          <w:rFonts w:eastAsia="Calibri"/>
          <w:lang w:val="fr-FR"/>
        </w:rPr>
        <w:t xml:space="preserve">de travail </w:t>
      </w:r>
      <w:r w:rsidRPr="006F0F1B">
        <w:rPr>
          <w:rFonts w:eastAsia="Calibri"/>
          <w:lang w:val="fr-FR"/>
        </w:rPr>
        <w:t xml:space="preserve">a organisé un séminaire sur le </w:t>
      </w:r>
      <w:r w:rsidRPr="00CC0FB5">
        <w:rPr>
          <w:rFonts w:eastAsia="Calibri"/>
          <w:lang w:val="fr-FR"/>
        </w:rPr>
        <w:t xml:space="preserve">thème prioritaire </w:t>
      </w:r>
      <w:r w:rsidR="00420B2F" w:rsidRPr="00CC0FB5">
        <w:rPr>
          <w:rFonts w:eastAsia="Calibri"/>
          <w:lang w:val="fr-FR"/>
        </w:rPr>
        <w:t xml:space="preserve">de la vie culturelle et familiale </w:t>
      </w:r>
      <w:r w:rsidRPr="00273ABE">
        <w:rPr>
          <w:rFonts w:eastAsia="Calibri"/>
          <w:lang w:val="fr-FR"/>
        </w:rPr>
        <w:t>réunissant</w:t>
      </w:r>
      <w:r w:rsidRPr="006F0F1B">
        <w:rPr>
          <w:rFonts w:eastAsia="Calibri"/>
          <w:lang w:val="fr-FR"/>
        </w:rPr>
        <w:t xml:space="preserve"> plusieurs représentants des mécanismes régionaux des droits de l’homme d’Amérique, d’Europe et d’Afrique. </w:t>
      </w:r>
      <w:r w:rsidR="003551BA" w:rsidRPr="00ED069E">
        <w:rPr>
          <w:rFonts w:eastAsia="Calibri"/>
          <w:lang w:val="fr-FR"/>
        </w:rPr>
        <w:t>À</w:t>
      </w:r>
      <w:r w:rsidRPr="006F0F1B">
        <w:rPr>
          <w:rFonts w:eastAsia="Calibri"/>
          <w:lang w:val="fr-FR"/>
        </w:rPr>
        <w:t xml:space="preserve"> sa </w:t>
      </w:r>
      <w:r w:rsidR="00161EB5" w:rsidRPr="00DA64F5">
        <w:rPr>
          <w:rFonts w:eastAsia="Calibri"/>
          <w:lang w:val="fr-FR"/>
        </w:rPr>
        <w:t>douzième</w:t>
      </w:r>
      <w:r w:rsidR="00161EB5" w:rsidRPr="00E32163">
        <w:rPr>
          <w:rFonts w:eastAsia="Calibri"/>
          <w:lang w:val="fr-FR"/>
        </w:rPr>
        <w:t xml:space="preserve"> </w:t>
      </w:r>
      <w:r w:rsidRPr="00420B2F">
        <w:rPr>
          <w:rFonts w:eastAsia="Calibri"/>
          <w:lang w:val="fr-FR"/>
        </w:rPr>
        <w:t>session (19-23 janvier 2015</w:t>
      </w:r>
      <w:r w:rsidR="001438CE" w:rsidRPr="00273ABE">
        <w:rPr>
          <w:rFonts w:eastAsia="Calibri"/>
          <w:lang w:val="fr-FR"/>
        </w:rPr>
        <w:t>,</w:t>
      </w:r>
      <w:r w:rsidRPr="00420B2F">
        <w:rPr>
          <w:rFonts w:eastAsia="Calibri"/>
          <w:lang w:val="fr-FR"/>
        </w:rPr>
        <w:t xml:space="preserve"> à New</w:t>
      </w:r>
      <w:r w:rsidR="00E626B4">
        <w:rPr>
          <w:rFonts w:eastAsia="Calibri"/>
          <w:lang w:val="fr-FR"/>
        </w:rPr>
        <w:t> </w:t>
      </w:r>
      <w:r w:rsidRPr="00420B2F">
        <w:rPr>
          <w:rFonts w:eastAsia="Calibri"/>
          <w:lang w:val="fr-FR"/>
        </w:rPr>
        <w:t>York)</w:t>
      </w:r>
      <w:r w:rsidRPr="006F0F1B">
        <w:rPr>
          <w:rFonts w:eastAsia="Calibri"/>
          <w:lang w:val="fr-FR"/>
        </w:rPr>
        <w:t xml:space="preserve">, le </w:t>
      </w:r>
      <w:r w:rsidR="00736F92">
        <w:rPr>
          <w:lang w:val="fr-FR"/>
        </w:rPr>
        <w:t>Groupe de travail</w:t>
      </w:r>
      <w:r w:rsidRPr="006F0F1B">
        <w:rPr>
          <w:rFonts w:eastAsia="Calibri"/>
          <w:lang w:val="fr-FR"/>
        </w:rPr>
        <w:t xml:space="preserve"> a continué </w:t>
      </w:r>
      <w:r w:rsidR="001A500B" w:rsidRPr="006F0F1B">
        <w:rPr>
          <w:rFonts w:eastAsia="Calibri"/>
          <w:lang w:val="fr-FR"/>
        </w:rPr>
        <w:t xml:space="preserve">sa coopération </w:t>
      </w:r>
      <w:r w:rsidRPr="006F0F1B">
        <w:rPr>
          <w:rFonts w:eastAsia="Calibri"/>
          <w:lang w:val="fr-FR"/>
        </w:rPr>
        <w:t xml:space="preserve">avec ses partenaires, notamment avec </w:t>
      </w:r>
      <w:r w:rsidR="00011D1C">
        <w:rPr>
          <w:rFonts w:eastAsia="Calibri"/>
          <w:lang w:val="fr-FR"/>
        </w:rPr>
        <w:t>l’Entité des Nations Unies pour l’égalité des sexes et l’autonomisation des femmes (</w:t>
      </w:r>
      <w:r w:rsidRPr="006F0F1B">
        <w:rPr>
          <w:rFonts w:eastAsia="Calibri"/>
          <w:lang w:val="fr-FR"/>
        </w:rPr>
        <w:t>ONU</w:t>
      </w:r>
      <w:r w:rsidR="00E626B4">
        <w:rPr>
          <w:rFonts w:eastAsia="Calibri"/>
          <w:lang w:val="fr-FR"/>
        </w:rPr>
        <w:noBreakHyphen/>
      </w:r>
      <w:r w:rsidRPr="006F0F1B">
        <w:rPr>
          <w:rFonts w:eastAsia="Calibri"/>
          <w:lang w:val="fr-FR"/>
        </w:rPr>
        <w:t>Femmes</w:t>
      </w:r>
      <w:r w:rsidR="00011D1C">
        <w:rPr>
          <w:rFonts w:eastAsia="Calibri"/>
          <w:lang w:val="fr-FR"/>
        </w:rPr>
        <w:t>)</w:t>
      </w:r>
      <w:r w:rsidRPr="006F0F1B">
        <w:rPr>
          <w:rFonts w:eastAsia="Calibri"/>
          <w:lang w:val="fr-FR"/>
        </w:rPr>
        <w:t xml:space="preserve">, et avec plusieurs </w:t>
      </w:r>
      <w:r w:rsidR="003551BA" w:rsidRPr="00ED069E">
        <w:rPr>
          <w:rFonts w:eastAsia="Calibri"/>
          <w:lang w:val="fr-FR"/>
        </w:rPr>
        <w:t>États</w:t>
      </w:r>
      <w:r w:rsidRPr="006F0F1B">
        <w:rPr>
          <w:rFonts w:eastAsia="Calibri"/>
          <w:lang w:val="fr-FR"/>
        </w:rPr>
        <w:t xml:space="preserve"> </w:t>
      </w:r>
      <w:r w:rsidR="005E778E" w:rsidRPr="005E778E">
        <w:rPr>
          <w:rFonts w:eastAsia="Calibri"/>
          <w:lang w:val="fr-FR"/>
        </w:rPr>
        <w:t>M</w:t>
      </w:r>
      <w:r w:rsidRPr="005E778E">
        <w:rPr>
          <w:rFonts w:eastAsia="Calibri"/>
          <w:lang w:val="fr-FR"/>
        </w:rPr>
        <w:t>embres concernant l</w:t>
      </w:r>
      <w:r w:rsidR="00272691" w:rsidRPr="005E778E">
        <w:rPr>
          <w:rFonts w:eastAsia="Calibri"/>
          <w:lang w:val="fr-FR"/>
        </w:rPr>
        <w:t>’</w:t>
      </w:r>
      <w:r w:rsidR="005E778E" w:rsidRPr="005E778E">
        <w:rPr>
          <w:rFonts w:eastAsia="Calibri"/>
          <w:lang w:val="fr-FR"/>
        </w:rPr>
        <w:t xml:space="preserve">établissement </w:t>
      </w:r>
      <w:r w:rsidRPr="005E778E">
        <w:rPr>
          <w:rFonts w:eastAsia="Calibri"/>
          <w:lang w:val="fr-FR"/>
        </w:rPr>
        <w:t>d</w:t>
      </w:r>
      <w:r w:rsidR="00272691" w:rsidRPr="005E778E">
        <w:rPr>
          <w:rFonts w:eastAsia="Calibri"/>
          <w:lang w:val="fr-FR"/>
        </w:rPr>
        <w:t>’</w:t>
      </w:r>
      <w:r w:rsidRPr="005E778E">
        <w:rPr>
          <w:rFonts w:eastAsia="Calibri"/>
          <w:lang w:val="fr-FR"/>
        </w:rPr>
        <w:t>un cadre normatif pour la mise en œuvre d</w:t>
      </w:r>
      <w:r w:rsidR="005E778E" w:rsidRPr="00273ABE">
        <w:rPr>
          <w:rFonts w:eastAsia="Calibri"/>
          <w:lang w:val="fr-FR"/>
        </w:rPr>
        <w:t xml:space="preserve">u programme </w:t>
      </w:r>
      <w:r w:rsidRPr="005E778E">
        <w:rPr>
          <w:rFonts w:eastAsia="Calibri"/>
          <w:lang w:val="fr-FR"/>
        </w:rPr>
        <w:t xml:space="preserve">de développement </w:t>
      </w:r>
      <w:r w:rsidR="005E778E" w:rsidRPr="00273ABE">
        <w:rPr>
          <w:rFonts w:eastAsia="Calibri"/>
          <w:lang w:val="fr-FR"/>
        </w:rPr>
        <w:t>pour l’après</w:t>
      </w:r>
      <w:r w:rsidRPr="005E778E">
        <w:rPr>
          <w:rFonts w:eastAsia="Calibri"/>
          <w:lang w:val="fr-FR"/>
        </w:rPr>
        <w:t>-2015</w:t>
      </w:r>
      <w:r w:rsidR="001A500B" w:rsidRPr="005E778E">
        <w:rPr>
          <w:rFonts w:eastAsia="Calibri"/>
          <w:lang w:val="fr-FR"/>
        </w:rPr>
        <w:t xml:space="preserve"> </w:t>
      </w:r>
      <w:r w:rsidR="00CD2281">
        <w:rPr>
          <w:rFonts w:eastAsia="Calibri"/>
          <w:lang w:val="fr-FR"/>
        </w:rPr>
        <w:t xml:space="preserve">et </w:t>
      </w:r>
      <w:r w:rsidR="00F144C9" w:rsidRPr="005E778E">
        <w:rPr>
          <w:rFonts w:eastAsia="Calibri"/>
          <w:lang w:val="fr-FR"/>
        </w:rPr>
        <w:t>Beijing</w:t>
      </w:r>
      <w:r w:rsidR="00E626B4">
        <w:rPr>
          <w:rFonts w:eastAsia="Calibri"/>
          <w:lang w:val="fr-FR"/>
        </w:rPr>
        <w:t> </w:t>
      </w:r>
      <w:r w:rsidR="005E778E" w:rsidRPr="00273ABE">
        <w:rPr>
          <w:rFonts w:eastAsia="Calibri"/>
          <w:lang w:val="fr-FR"/>
        </w:rPr>
        <w:t>+</w:t>
      </w:r>
      <w:r w:rsidR="00E626B4">
        <w:rPr>
          <w:rFonts w:eastAsia="Calibri"/>
          <w:lang w:val="fr-FR"/>
        </w:rPr>
        <w:t> </w:t>
      </w:r>
      <w:r w:rsidR="00F144C9" w:rsidRPr="005E778E">
        <w:rPr>
          <w:rFonts w:eastAsia="Calibri"/>
          <w:lang w:val="fr-FR"/>
        </w:rPr>
        <w:t>20</w:t>
      </w:r>
      <w:r w:rsidRPr="006F0F1B">
        <w:rPr>
          <w:rFonts w:eastAsia="Calibri"/>
          <w:lang w:val="fr-FR"/>
        </w:rPr>
        <w:t xml:space="preserve">. </w:t>
      </w:r>
      <w:r w:rsidR="00F144C9" w:rsidRPr="006F0F1B">
        <w:rPr>
          <w:lang w:val="fr-FR"/>
        </w:rPr>
        <w:t xml:space="preserve">Le </w:t>
      </w:r>
      <w:r w:rsidR="00736F92">
        <w:rPr>
          <w:lang w:val="fr-FR"/>
        </w:rPr>
        <w:t>Groupe de travail</w:t>
      </w:r>
      <w:r w:rsidR="00F144C9" w:rsidRPr="006F0F1B">
        <w:rPr>
          <w:lang w:val="fr-FR"/>
        </w:rPr>
        <w:t xml:space="preserve"> a consulté des experts, </w:t>
      </w:r>
      <w:r w:rsidR="00451343">
        <w:rPr>
          <w:lang w:val="fr-FR"/>
        </w:rPr>
        <w:t xml:space="preserve">des </w:t>
      </w:r>
      <w:r w:rsidR="00F86312">
        <w:rPr>
          <w:lang w:val="fr-FR"/>
        </w:rPr>
        <w:t xml:space="preserve">universitaires </w:t>
      </w:r>
      <w:r w:rsidR="00F144C9" w:rsidRPr="006F0F1B">
        <w:rPr>
          <w:lang w:val="fr-FR"/>
        </w:rPr>
        <w:t xml:space="preserve">et </w:t>
      </w:r>
      <w:r w:rsidR="00451343">
        <w:rPr>
          <w:lang w:val="fr-FR"/>
        </w:rPr>
        <w:t xml:space="preserve">des </w:t>
      </w:r>
      <w:r w:rsidR="00F144C9" w:rsidRPr="006F0F1B">
        <w:rPr>
          <w:lang w:val="fr-FR"/>
        </w:rPr>
        <w:t>organisations non</w:t>
      </w:r>
      <w:r w:rsidR="00451343">
        <w:rPr>
          <w:lang w:val="fr-FR"/>
        </w:rPr>
        <w:t xml:space="preserve"> </w:t>
      </w:r>
      <w:r w:rsidR="00F144C9" w:rsidRPr="006F0F1B">
        <w:rPr>
          <w:lang w:val="fr-FR"/>
        </w:rPr>
        <w:t xml:space="preserve">gouvernementales </w:t>
      </w:r>
      <w:r w:rsidR="00451343">
        <w:rPr>
          <w:lang w:val="fr-FR"/>
        </w:rPr>
        <w:t xml:space="preserve">sur </w:t>
      </w:r>
      <w:r w:rsidR="00F144C9" w:rsidRPr="006F0F1B">
        <w:rPr>
          <w:lang w:val="fr-FR"/>
        </w:rPr>
        <w:t xml:space="preserve">le prochain </w:t>
      </w:r>
      <w:r w:rsidR="00F144C9" w:rsidRPr="00DA64F5">
        <w:rPr>
          <w:lang w:val="fr-FR"/>
        </w:rPr>
        <w:t>thème prioritaire</w:t>
      </w:r>
      <w:r w:rsidR="00FA3D3A">
        <w:rPr>
          <w:lang w:val="fr-FR"/>
        </w:rPr>
        <w:t xml:space="preserve"> qu</w:t>
      </w:r>
      <w:r w:rsidR="00961CF9">
        <w:rPr>
          <w:lang w:val="fr-FR"/>
        </w:rPr>
        <w:t>’</w:t>
      </w:r>
      <w:r w:rsidR="00FA3D3A">
        <w:rPr>
          <w:lang w:val="fr-FR"/>
        </w:rPr>
        <w:t>il abordera</w:t>
      </w:r>
      <w:r w:rsidR="00451343" w:rsidRPr="00DA64F5">
        <w:rPr>
          <w:lang w:val="fr-FR"/>
        </w:rPr>
        <w:t>, à savoir</w:t>
      </w:r>
      <w:r w:rsidR="00F144C9" w:rsidRPr="00DA64F5">
        <w:rPr>
          <w:lang w:val="fr-FR"/>
        </w:rPr>
        <w:t xml:space="preserve"> </w:t>
      </w:r>
      <w:r w:rsidR="00F144C9" w:rsidRPr="00E32163">
        <w:rPr>
          <w:lang w:val="fr-FR"/>
        </w:rPr>
        <w:t>la discrimination à l’égard des femmes dans la santé et la sécurité.</w:t>
      </w:r>
      <w:r w:rsidR="00F144C9" w:rsidRPr="006F0F1B">
        <w:rPr>
          <w:lang w:val="fr-FR"/>
        </w:rPr>
        <w:t xml:space="preserve"> </w:t>
      </w:r>
      <w:r w:rsidRPr="006F0F1B">
        <w:rPr>
          <w:rFonts w:eastAsia="Calibri"/>
          <w:lang w:val="fr-FR"/>
        </w:rPr>
        <w:t xml:space="preserve">Il a </w:t>
      </w:r>
      <w:r w:rsidR="00FE1DF0">
        <w:rPr>
          <w:rFonts w:eastAsia="Calibri"/>
          <w:lang w:val="fr-FR"/>
        </w:rPr>
        <w:t xml:space="preserve">fait la </w:t>
      </w:r>
      <w:r w:rsidRPr="00FE1DF0">
        <w:rPr>
          <w:rFonts w:eastAsia="Calibri"/>
          <w:lang w:val="fr-FR"/>
        </w:rPr>
        <w:t>synth</w:t>
      </w:r>
      <w:r w:rsidR="00FE1DF0" w:rsidRPr="00273ABE">
        <w:rPr>
          <w:rFonts w:eastAsia="Calibri"/>
          <w:lang w:val="fr-FR"/>
        </w:rPr>
        <w:t xml:space="preserve">èse </w:t>
      </w:r>
      <w:r w:rsidR="00FE1DF0" w:rsidRPr="00FE1DF0">
        <w:rPr>
          <w:rFonts w:eastAsia="Calibri"/>
          <w:lang w:val="fr-FR"/>
        </w:rPr>
        <w:t>d</w:t>
      </w:r>
      <w:r w:rsidRPr="00FE1DF0">
        <w:rPr>
          <w:rFonts w:eastAsia="Calibri"/>
          <w:lang w:val="fr-FR"/>
        </w:rPr>
        <w:t>es</w:t>
      </w:r>
      <w:r w:rsidRPr="006F0F1B">
        <w:rPr>
          <w:rFonts w:eastAsia="Calibri"/>
          <w:lang w:val="fr-FR"/>
        </w:rPr>
        <w:t xml:space="preserve"> informations rassemblées en vue d’établir le présent rapport</w:t>
      </w:r>
      <w:r w:rsidR="00F144C9" w:rsidRPr="006F0F1B">
        <w:rPr>
          <w:rFonts w:eastAsia="Calibri"/>
          <w:lang w:val="fr-FR"/>
        </w:rPr>
        <w:t>.</w:t>
      </w:r>
    </w:p>
    <w:p w:rsidR="006879D2" w:rsidRPr="006F0F1B" w:rsidRDefault="006879D2" w:rsidP="006879D2">
      <w:pPr>
        <w:pStyle w:val="H1G"/>
        <w:rPr>
          <w:lang w:val="fr-FR"/>
        </w:rPr>
      </w:pPr>
      <w:bookmarkStart w:id="6" w:name="_Toc412190759"/>
      <w:r w:rsidRPr="006F0F1B">
        <w:rPr>
          <w:lang w:val="fr-FR"/>
        </w:rPr>
        <w:tab/>
        <w:t>B.</w:t>
      </w:r>
      <w:r w:rsidRPr="006F0F1B">
        <w:rPr>
          <w:lang w:val="fr-FR"/>
        </w:rPr>
        <w:tab/>
        <w:t xml:space="preserve">Visites </w:t>
      </w:r>
      <w:r w:rsidR="00451343">
        <w:rPr>
          <w:lang w:val="fr-FR"/>
        </w:rPr>
        <w:t xml:space="preserve">dans les </w:t>
      </w:r>
      <w:r w:rsidRPr="006F0F1B">
        <w:rPr>
          <w:lang w:val="fr-FR"/>
        </w:rPr>
        <w:t>pays</w:t>
      </w:r>
      <w:bookmarkEnd w:id="6"/>
    </w:p>
    <w:p w:rsidR="006879D2" w:rsidRPr="006F0F1B" w:rsidRDefault="006879D2" w:rsidP="00FA3D3A">
      <w:pPr>
        <w:pStyle w:val="SingleTxtG"/>
        <w:numPr>
          <w:ilvl w:val="0"/>
          <w:numId w:val="33"/>
        </w:numPr>
        <w:ind w:left="1134" w:firstLine="0"/>
        <w:rPr>
          <w:rFonts w:eastAsia="Calibri"/>
          <w:lang w:val="fr-FR"/>
        </w:rPr>
      </w:pPr>
      <w:r w:rsidRPr="00FE1DF0">
        <w:rPr>
          <w:rFonts w:eastAsia="Calibri"/>
          <w:lang w:val="fr-FR"/>
        </w:rPr>
        <w:t xml:space="preserve">Le </w:t>
      </w:r>
      <w:r w:rsidR="00736F92" w:rsidRPr="00273ABE">
        <w:rPr>
          <w:rFonts w:eastAsia="Calibri"/>
          <w:lang w:val="fr-FR"/>
        </w:rPr>
        <w:t>Groupe de travail</w:t>
      </w:r>
      <w:r w:rsidRPr="006F0F1B">
        <w:rPr>
          <w:rFonts w:eastAsia="Calibri"/>
          <w:lang w:val="fr-FR"/>
        </w:rPr>
        <w:t xml:space="preserve"> </w:t>
      </w:r>
      <w:r w:rsidR="00FA3D3A">
        <w:rPr>
          <w:rFonts w:eastAsia="Calibri"/>
          <w:lang w:val="fr-FR"/>
        </w:rPr>
        <w:t>s</w:t>
      </w:r>
      <w:r w:rsidR="00961CF9">
        <w:rPr>
          <w:rFonts w:eastAsia="Calibri"/>
          <w:lang w:val="fr-FR"/>
        </w:rPr>
        <w:t>’</w:t>
      </w:r>
      <w:r w:rsidR="00FA3D3A">
        <w:rPr>
          <w:rFonts w:eastAsia="Calibri"/>
          <w:lang w:val="fr-FR"/>
        </w:rPr>
        <w:t>est rendu au</w:t>
      </w:r>
      <w:r w:rsidRPr="006F0F1B">
        <w:rPr>
          <w:rFonts w:eastAsia="Calibri"/>
          <w:lang w:val="fr-FR"/>
        </w:rPr>
        <w:t xml:space="preserve"> Chili du 1</w:t>
      </w:r>
      <w:r w:rsidR="003551BA" w:rsidRPr="006F0F1B">
        <w:rPr>
          <w:rFonts w:eastAsia="Calibri"/>
          <w:vertAlign w:val="superscript"/>
          <w:lang w:val="fr-FR"/>
        </w:rPr>
        <w:t>er</w:t>
      </w:r>
      <w:r w:rsidR="003551BA">
        <w:rPr>
          <w:rFonts w:eastAsia="Calibri"/>
          <w:lang w:val="fr-FR"/>
        </w:rPr>
        <w:t xml:space="preserve"> </w:t>
      </w:r>
      <w:r w:rsidRPr="00DA64F5">
        <w:rPr>
          <w:rFonts w:eastAsia="Calibri"/>
          <w:lang w:val="fr-FR"/>
        </w:rPr>
        <w:t>au 9</w:t>
      </w:r>
      <w:r w:rsidR="005B0E15" w:rsidRPr="00DA64F5">
        <w:rPr>
          <w:rFonts w:eastAsia="Calibri"/>
          <w:lang w:val="fr-FR"/>
        </w:rPr>
        <w:t> </w:t>
      </w:r>
      <w:r w:rsidRPr="00E32163">
        <w:rPr>
          <w:rFonts w:eastAsia="Calibri"/>
          <w:lang w:val="fr-FR"/>
        </w:rPr>
        <w:t xml:space="preserve">septembre 2014 (A/HRC/29/40/Add.1), </w:t>
      </w:r>
      <w:r w:rsidR="00FA3D3A">
        <w:rPr>
          <w:rFonts w:eastAsia="Calibri"/>
          <w:lang w:val="fr-FR"/>
        </w:rPr>
        <w:t>au</w:t>
      </w:r>
      <w:r w:rsidR="00FA3D3A" w:rsidRPr="00E32163">
        <w:rPr>
          <w:rFonts w:eastAsia="Calibri"/>
          <w:lang w:val="fr-FR"/>
        </w:rPr>
        <w:t xml:space="preserve"> </w:t>
      </w:r>
      <w:r w:rsidRPr="00E32163">
        <w:rPr>
          <w:rFonts w:eastAsia="Calibri"/>
          <w:lang w:val="fr-FR"/>
        </w:rPr>
        <w:t>Pérou du 10 au 19</w:t>
      </w:r>
      <w:r w:rsidR="005B0E15" w:rsidRPr="00E32163">
        <w:rPr>
          <w:rFonts w:eastAsia="Calibri"/>
          <w:lang w:val="fr-FR"/>
        </w:rPr>
        <w:t> </w:t>
      </w:r>
      <w:r w:rsidRPr="00E32163">
        <w:rPr>
          <w:rFonts w:eastAsia="Calibri"/>
          <w:lang w:val="fr-FR"/>
        </w:rPr>
        <w:t xml:space="preserve">septembre 2014 (A/HRC/29/40/Add.2) et </w:t>
      </w:r>
      <w:r w:rsidR="00FA3D3A">
        <w:rPr>
          <w:rFonts w:eastAsia="Calibri"/>
          <w:lang w:val="fr-FR"/>
        </w:rPr>
        <w:t xml:space="preserve">en </w:t>
      </w:r>
      <w:r w:rsidR="00FA3D3A" w:rsidRPr="00E32163">
        <w:rPr>
          <w:rFonts w:eastAsia="Calibri"/>
          <w:lang w:val="fr-FR"/>
        </w:rPr>
        <w:t xml:space="preserve">Espagne </w:t>
      </w:r>
      <w:r w:rsidRPr="00E32163">
        <w:rPr>
          <w:rFonts w:eastAsia="Calibri"/>
          <w:lang w:val="fr-FR"/>
        </w:rPr>
        <w:t>du 9 au 19</w:t>
      </w:r>
      <w:r w:rsidR="003551BA" w:rsidRPr="00E32163">
        <w:rPr>
          <w:rFonts w:eastAsia="Calibri"/>
          <w:lang w:val="fr-FR"/>
        </w:rPr>
        <w:t> </w:t>
      </w:r>
      <w:r w:rsidRPr="00E32163">
        <w:rPr>
          <w:rFonts w:eastAsia="Calibri"/>
          <w:lang w:val="fr-FR"/>
        </w:rPr>
        <w:t>décembre 2014 (A/HRC/29/40/Add.3).</w:t>
      </w:r>
      <w:r w:rsidRPr="006F0F1B">
        <w:rPr>
          <w:rFonts w:eastAsia="Calibri"/>
          <w:lang w:val="fr-FR"/>
        </w:rPr>
        <w:t xml:space="preserve"> Il tient à remercier </w:t>
      </w:r>
      <w:r w:rsidR="00FA3D3A">
        <w:rPr>
          <w:rFonts w:eastAsia="Calibri"/>
          <w:lang w:val="fr-FR"/>
        </w:rPr>
        <w:t>les</w:t>
      </w:r>
      <w:r w:rsidR="00FA3D3A" w:rsidRPr="006F0F1B">
        <w:rPr>
          <w:rFonts w:eastAsia="Calibri"/>
          <w:lang w:val="fr-FR"/>
        </w:rPr>
        <w:t xml:space="preserve"> </w:t>
      </w:r>
      <w:r w:rsidR="00FA3D3A">
        <w:rPr>
          <w:lang w:val="fr-FR"/>
        </w:rPr>
        <w:t>G</w:t>
      </w:r>
      <w:r w:rsidR="00FA3D3A" w:rsidRPr="00FE1DF0">
        <w:rPr>
          <w:lang w:val="fr-FR"/>
        </w:rPr>
        <w:t>ouvernements</w:t>
      </w:r>
      <w:r w:rsidR="00FA3D3A" w:rsidRPr="00FE1DF0">
        <w:rPr>
          <w:rFonts w:eastAsia="Calibri"/>
          <w:lang w:val="fr-FR"/>
        </w:rPr>
        <w:t xml:space="preserve"> </w:t>
      </w:r>
      <w:r w:rsidR="00FA3D3A">
        <w:rPr>
          <w:rFonts w:eastAsia="Calibri"/>
          <w:lang w:val="fr-FR"/>
        </w:rPr>
        <w:t xml:space="preserve">de ces pays </w:t>
      </w:r>
      <w:r w:rsidRPr="00FE1DF0">
        <w:rPr>
          <w:rFonts w:eastAsia="Calibri"/>
          <w:lang w:val="fr-FR"/>
        </w:rPr>
        <w:t xml:space="preserve">pour leur coopération avant et pendant la visite et remercie le Sénégal, la Hongrie, les </w:t>
      </w:r>
      <w:r w:rsidR="003551BA" w:rsidRPr="00FE1DF0">
        <w:rPr>
          <w:rFonts w:eastAsia="Calibri"/>
          <w:lang w:val="fr-FR"/>
        </w:rPr>
        <w:t>États-Unis</w:t>
      </w:r>
      <w:r w:rsidRPr="00FE1DF0">
        <w:rPr>
          <w:rFonts w:eastAsia="Calibri"/>
          <w:lang w:val="fr-FR"/>
        </w:rPr>
        <w:t xml:space="preserve"> </w:t>
      </w:r>
      <w:r w:rsidR="001438CE">
        <w:rPr>
          <w:rFonts w:eastAsia="Calibri"/>
          <w:lang w:val="fr-FR"/>
        </w:rPr>
        <w:t xml:space="preserve">d’Amérique </w:t>
      </w:r>
      <w:r w:rsidRPr="00FE1DF0">
        <w:rPr>
          <w:rFonts w:eastAsia="Calibri"/>
          <w:lang w:val="fr-FR"/>
        </w:rPr>
        <w:t xml:space="preserve">et les Maldives </w:t>
      </w:r>
      <w:r w:rsidR="00FE1DF0" w:rsidRPr="00FE1DF0">
        <w:rPr>
          <w:rFonts w:eastAsia="Calibri"/>
          <w:lang w:val="fr-FR"/>
        </w:rPr>
        <w:t>d’</w:t>
      </w:r>
      <w:r w:rsidRPr="00FE1DF0">
        <w:rPr>
          <w:rFonts w:eastAsia="Calibri"/>
          <w:lang w:val="fr-FR"/>
        </w:rPr>
        <w:t>avoir répondu</w:t>
      </w:r>
      <w:r w:rsidRPr="006F0F1B">
        <w:rPr>
          <w:rFonts w:eastAsia="Calibri"/>
          <w:lang w:val="fr-FR"/>
        </w:rPr>
        <w:t xml:space="preserve"> positivement à ses demandes de visite.</w:t>
      </w:r>
    </w:p>
    <w:p w:rsidR="006879D2" w:rsidRPr="006F0F1B" w:rsidRDefault="006879D2" w:rsidP="006879D2">
      <w:pPr>
        <w:pStyle w:val="H1G"/>
        <w:rPr>
          <w:lang w:val="fr-FR"/>
        </w:rPr>
      </w:pPr>
      <w:bookmarkStart w:id="7" w:name="_Toc412190760"/>
      <w:r w:rsidRPr="006F0F1B">
        <w:rPr>
          <w:lang w:val="fr-FR"/>
        </w:rPr>
        <w:tab/>
        <w:t>C.</w:t>
      </w:r>
      <w:r w:rsidRPr="006F0F1B">
        <w:rPr>
          <w:lang w:val="fr-FR"/>
        </w:rPr>
        <w:tab/>
        <w:t>Communications et communiqués de presse</w:t>
      </w:r>
      <w:bookmarkEnd w:id="7"/>
    </w:p>
    <w:p w:rsidR="006879D2" w:rsidRPr="006F0F1B" w:rsidRDefault="006879D2" w:rsidP="004740EB">
      <w:pPr>
        <w:pStyle w:val="SingleTxtG"/>
        <w:numPr>
          <w:ilvl w:val="0"/>
          <w:numId w:val="33"/>
        </w:numPr>
        <w:ind w:left="1134" w:firstLine="0"/>
        <w:rPr>
          <w:rFonts w:eastAsia="Calibri"/>
          <w:lang w:val="fr-FR"/>
        </w:rPr>
      </w:pPr>
      <w:r w:rsidRPr="006F0F1B">
        <w:rPr>
          <w:rFonts w:eastAsia="Calibri"/>
          <w:lang w:val="fr-FR"/>
        </w:rPr>
        <w:t>Au cours de la période à l’examen, le Groupe d</w:t>
      </w:r>
      <w:r w:rsidR="00451343">
        <w:rPr>
          <w:rFonts w:eastAsia="Calibri"/>
          <w:lang w:val="fr-FR"/>
        </w:rPr>
        <w:t xml:space="preserve">e travail </w:t>
      </w:r>
      <w:r w:rsidRPr="006F0F1B">
        <w:rPr>
          <w:rFonts w:eastAsia="Calibri"/>
          <w:lang w:val="fr-FR"/>
        </w:rPr>
        <w:t>a adressé aux gouvernements, seul ou conjointement avec d’autres titulaires de mandat</w:t>
      </w:r>
      <w:r w:rsidR="001438CE">
        <w:rPr>
          <w:rFonts w:eastAsia="Calibri"/>
          <w:lang w:val="fr-FR"/>
        </w:rPr>
        <w:t xml:space="preserve"> </w:t>
      </w:r>
      <w:r w:rsidR="001438CE" w:rsidRPr="005D37A9">
        <w:rPr>
          <w:rFonts w:eastAsia="Calibri"/>
          <w:lang w:val="fr-FR"/>
        </w:rPr>
        <w:t>au titre des procédures spéciales du Conseil des droits de l’homme</w:t>
      </w:r>
      <w:r w:rsidRPr="006F0F1B">
        <w:rPr>
          <w:rFonts w:eastAsia="Calibri"/>
          <w:lang w:val="fr-FR"/>
        </w:rPr>
        <w:t xml:space="preserve">, des communications sur un large </w:t>
      </w:r>
      <w:r w:rsidRPr="006F0F1B">
        <w:rPr>
          <w:rFonts w:eastAsia="Calibri"/>
          <w:lang w:val="fr-FR"/>
        </w:rPr>
        <w:lastRenderedPageBreak/>
        <w:t>éventail de questions relevant de son mandat, notamment concernant des législations discriminatoires sur la nationalité et l’âge minimum légal du mariage, des allégations de mariages forcés et/ou précoces, ou sur la santé sexuelle et reproductive</w:t>
      </w:r>
      <w:r w:rsidR="00F144C9" w:rsidRPr="006F0F1B">
        <w:rPr>
          <w:rFonts w:eastAsia="Calibri"/>
          <w:lang w:val="fr-FR"/>
        </w:rPr>
        <w:t xml:space="preserve"> </w:t>
      </w:r>
      <w:r w:rsidR="00E11017" w:rsidRPr="00DA64F5">
        <w:rPr>
          <w:lang w:val="fr-FR"/>
        </w:rPr>
        <w:t>(</w:t>
      </w:r>
      <w:r w:rsidR="00F144C9" w:rsidRPr="00DA64F5">
        <w:rPr>
          <w:lang w:val="fr-FR"/>
        </w:rPr>
        <w:t xml:space="preserve">A/HRC/27/72, A/HRC/28/85 et </w:t>
      </w:r>
      <w:r w:rsidR="00F144C9" w:rsidRPr="00963C67">
        <w:rPr>
          <w:lang w:val="fr-FR"/>
        </w:rPr>
        <w:t>A/HRC/29/50).</w:t>
      </w:r>
      <w:r w:rsidR="00F144C9" w:rsidRPr="006F0F1B">
        <w:rPr>
          <w:lang w:val="fr-FR"/>
        </w:rPr>
        <w:t xml:space="preserve"> Le </w:t>
      </w:r>
      <w:r w:rsidR="00736F92">
        <w:rPr>
          <w:lang w:val="fr-FR"/>
        </w:rPr>
        <w:t>Groupe de travail</w:t>
      </w:r>
      <w:r w:rsidRPr="006F0F1B">
        <w:rPr>
          <w:rFonts w:eastAsia="Calibri"/>
          <w:lang w:val="fr-FR"/>
        </w:rPr>
        <w:t xml:space="preserve"> a aussi publié des communiqués de presse, seul ou avec </w:t>
      </w:r>
      <w:r w:rsidRPr="004740EB">
        <w:rPr>
          <w:rFonts w:eastAsia="Calibri"/>
          <w:lang w:val="fr-FR"/>
        </w:rPr>
        <w:t xml:space="preserve">d’autres </w:t>
      </w:r>
      <w:r w:rsidRPr="00250230">
        <w:rPr>
          <w:rFonts w:eastAsia="Calibri"/>
          <w:lang w:val="fr-FR"/>
        </w:rPr>
        <w:t>titulaires de mandat,</w:t>
      </w:r>
      <w:r w:rsidRPr="006F0F1B">
        <w:rPr>
          <w:rFonts w:eastAsia="Calibri"/>
          <w:lang w:val="fr-FR"/>
        </w:rPr>
        <w:t xml:space="preserve"> organes conventionnels et mécanismes régionaux.</w:t>
      </w:r>
    </w:p>
    <w:p w:rsidR="006879D2" w:rsidRPr="006F0F1B" w:rsidRDefault="006879D2" w:rsidP="006879D2">
      <w:pPr>
        <w:pStyle w:val="H1G"/>
        <w:rPr>
          <w:lang w:val="fr-FR"/>
        </w:rPr>
      </w:pPr>
      <w:bookmarkStart w:id="8" w:name="_Toc412190761"/>
      <w:r w:rsidRPr="006F0F1B">
        <w:rPr>
          <w:lang w:val="fr-FR"/>
        </w:rPr>
        <w:tab/>
        <w:t>D.</w:t>
      </w:r>
      <w:r w:rsidRPr="006F0F1B">
        <w:rPr>
          <w:lang w:val="fr-FR"/>
        </w:rPr>
        <w:tab/>
        <w:t>Commission de la condition de la femme</w:t>
      </w:r>
      <w:bookmarkEnd w:id="8"/>
    </w:p>
    <w:p w:rsidR="006879D2" w:rsidRPr="006F0F1B" w:rsidRDefault="006879D2" w:rsidP="00A27B94">
      <w:pPr>
        <w:pStyle w:val="SingleTxtG"/>
        <w:numPr>
          <w:ilvl w:val="0"/>
          <w:numId w:val="33"/>
        </w:numPr>
        <w:ind w:left="1134" w:firstLine="0"/>
        <w:rPr>
          <w:rFonts w:eastAsia="Calibri"/>
          <w:lang w:val="fr-FR"/>
        </w:rPr>
      </w:pPr>
      <w:r w:rsidRPr="006F0F1B">
        <w:rPr>
          <w:rFonts w:eastAsia="Calibri"/>
          <w:lang w:val="fr-FR"/>
        </w:rPr>
        <w:t>Alda Facio a participé en tant que modératrice à une discussion sur la réalisation des droits des femmes et des filles marginalisées et désavantagées</w:t>
      </w:r>
      <w:r w:rsidR="00451343">
        <w:rPr>
          <w:rFonts w:eastAsia="Calibri"/>
          <w:lang w:val="fr-FR"/>
        </w:rPr>
        <w:t>,</w:t>
      </w:r>
      <w:r w:rsidRPr="006F0F1B">
        <w:rPr>
          <w:rFonts w:eastAsia="Calibri"/>
          <w:lang w:val="fr-FR"/>
        </w:rPr>
        <w:t xml:space="preserve"> le 18</w:t>
      </w:r>
      <w:r w:rsidR="005B0E15">
        <w:rPr>
          <w:rFonts w:eastAsia="Calibri"/>
          <w:lang w:val="fr-FR"/>
        </w:rPr>
        <w:t> </w:t>
      </w:r>
      <w:r w:rsidRPr="006F0F1B">
        <w:rPr>
          <w:rFonts w:eastAsia="Calibri"/>
          <w:lang w:val="fr-FR"/>
        </w:rPr>
        <w:t>mars 2015</w:t>
      </w:r>
      <w:r w:rsidR="00451343">
        <w:rPr>
          <w:rFonts w:eastAsia="Calibri"/>
          <w:lang w:val="fr-FR"/>
        </w:rPr>
        <w:t>,</w:t>
      </w:r>
      <w:r w:rsidRPr="006F0F1B">
        <w:rPr>
          <w:rFonts w:eastAsia="Calibri"/>
          <w:lang w:val="fr-FR"/>
        </w:rPr>
        <w:t xml:space="preserve"> et à d’autres év</w:t>
      </w:r>
      <w:r w:rsidR="00451343">
        <w:rPr>
          <w:rFonts w:eastAsia="Calibri"/>
          <w:lang w:val="fr-FR"/>
        </w:rPr>
        <w:t>é</w:t>
      </w:r>
      <w:r w:rsidRPr="006F0F1B">
        <w:rPr>
          <w:rFonts w:eastAsia="Calibri"/>
          <w:lang w:val="fr-FR"/>
        </w:rPr>
        <w:t xml:space="preserve">nements </w:t>
      </w:r>
      <w:r w:rsidR="00F144C9" w:rsidRPr="006F0F1B">
        <w:rPr>
          <w:rFonts w:eastAsia="Calibri"/>
          <w:lang w:val="fr-FR"/>
        </w:rPr>
        <w:t>de</w:t>
      </w:r>
      <w:r w:rsidRPr="006F0F1B">
        <w:rPr>
          <w:rFonts w:eastAsia="Calibri"/>
          <w:lang w:val="fr-FR"/>
        </w:rPr>
        <w:t xml:space="preserve"> </w:t>
      </w:r>
      <w:r w:rsidRPr="00DA64F5">
        <w:rPr>
          <w:rFonts w:eastAsia="Calibri"/>
          <w:lang w:val="fr-FR"/>
        </w:rPr>
        <w:t xml:space="preserve">la </w:t>
      </w:r>
      <w:r w:rsidR="00161EB5" w:rsidRPr="00DA64F5">
        <w:rPr>
          <w:rFonts w:eastAsia="Calibri"/>
          <w:lang w:val="fr-FR"/>
        </w:rPr>
        <w:t>cinquante-neuvième</w:t>
      </w:r>
      <w:r w:rsidR="00161EB5" w:rsidRPr="00E32163">
        <w:rPr>
          <w:rFonts w:eastAsia="Calibri"/>
          <w:lang w:val="fr-FR"/>
        </w:rPr>
        <w:t xml:space="preserve"> </w:t>
      </w:r>
      <w:r w:rsidRPr="00E32163">
        <w:rPr>
          <w:rFonts w:eastAsia="Calibri"/>
          <w:lang w:val="fr-FR"/>
        </w:rPr>
        <w:t>session de la Commission de la condition de la femme</w:t>
      </w:r>
      <w:r w:rsidRPr="00E73028">
        <w:rPr>
          <w:rFonts w:eastAsia="Calibri"/>
          <w:lang w:val="fr-FR"/>
        </w:rPr>
        <w:t>.</w:t>
      </w:r>
      <w:r w:rsidRPr="006F0F1B">
        <w:rPr>
          <w:rFonts w:eastAsia="Calibri"/>
          <w:lang w:val="fr-FR"/>
        </w:rPr>
        <w:t xml:space="preserve"> </w:t>
      </w:r>
    </w:p>
    <w:p w:rsidR="006879D2" w:rsidRPr="006F0F1B" w:rsidRDefault="006879D2" w:rsidP="006879D2">
      <w:pPr>
        <w:pStyle w:val="H1G"/>
        <w:rPr>
          <w:lang w:val="fr-FR"/>
        </w:rPr>
      </w:pPr>
      <w:bookmarkStart w:id="9" w:name="_Toc412190762"/>
      <w:r w:rsidRPr="006F0F1B">
        <w:rPr>
          <w:lang w:val="fr-FR"/>
        </w:rPr>
        <w:tab/>
        <w:t>E.</w:t>
      </w:r>
      <w:r w:rsidRPr="006F0F1B">
        <w:rPr>
          <w:lang w:val="fr-FR"/>
        </w:rPr>
        <w:tab/>
        <w:t>Autres activités</w:t>
      </w:r>
      <w:bookmarkEnd w:id="9"/>
    </w:p>
    <w:p w:rsidR="006879D2" w:rsidRPr="006F0F1B" w:rsidRDefault="006879D2" w:rsidP="000529DC">
      <w:pPr>
        <w:pStyle w:val="SingleTxtG"/>
        <w:numPr>
          <w:ilvl w:val="0"/>
          <w:numId w:val="33"/>
        </w:numPr>
        <w:ind w:left="1134" w:firstLine="0"/>
        <w:rPr>
          <w:rFonts w:eastAsia="Calibri"/>
          <w:lang w:val="fr-FR"/>
        </w:rPr>
      </w:pPr>
      <w:r w:rsidRPr="006F0F1B">
        <w:rPr>
          <w:rFonts w:eastAsia="Calibri"/>
          <w:lang w:val="fr-FR"/>
        </w:rPr>
        <w:t>Le 1</w:t>
      </w:r>
      <w:r w:rsidRPr="006F0F1B">
        <w:rPr>
          <w:rFonts w:eastAsia="Calibri"/>
          <w:vertAlign w:val="superscript"/>
          <w:lang w:val="fr-FR"/>
        </w:rPr>
        <w:t>er</w:t>
      </w:r>
      <w:r w:rsidRPr="006F0F1B">
        <w:rPr>
          <w:rFonts w:eastAsia="Calibri"/>
          <w:lang w:val="fr-FR"/>
        </w:rPr>
        <w:t xml:space="preserve"> septembre 2014, Frances Raday, la Présidente du Groupe </w:t>
      </w:r>
      <w:r w:rsidR="00451343">
        <w:rPr>
          <w:rFonts w:eastAsia="Calibri"/>
          <w:lang w:val="fr-FR"/>
        </w:rPr>
        <w:t>de travail</w:t>
      </w:r>
      <w:r w:rsidR="00451343" w:rsidRPr="006F0F1B">
        <w:rPr>
          <w:rFonts w:eastAsia="Calibri"/>
          <w:lang w:val="fr-FR"/>
        </w:rPr>
        <w:t xml:space="preserve"> </w:t>
      </w:r>
      <w:r w:rsidRPr="006F0F1B">
        <w:rPr>
          <w:rFonts w:eastAsia="Calibri"/>
          <w:lang w:val="fr-FR"/>
        </w:rPr>
        <w:t xml:space="preserve">a envoyé une lettre </w:t>
      </w:r>
      <w:r w:rsidR="00451343">
        <w:rPr>
          <w:rFonts w:eastAsia="Calibri"/>
          <w:lang w:val="fr-FR"/>
        </w:rPr>
        <w:t xml:space="preserve">au </w:t>
      </w:r>
      <w:r w:rsidRPr="006F0F1B">
        <w:rPr>
          <w:rFonts w:eastAsia="Calibri"/>
          <w:lang w:val="fr-FR"/>
        </w:rPr>
        <w:t xml:space="preserve">Président du </w:t>
      </w:r>
      <w:r w:rsidR="003B1BF8" w:rsidRPr="006F0F1B">
        <w:rPr>
          <w:rFonts w:eastAsia="Calibri"/>
          <w:lang w:val="fr-FR"/>
        </w:rPr>
        <w:t>Conseil des droits de l’homme</w:t>
      </w:r>
      <w:r w:rsidRPr="006F0F1B">
        <w:rPr>
          <w:rFonts w:eastAsia="Calibri"/>
          <w:lang w:val="fr-FR"/>
        </w:rPr>
        <w:t xml:space="preserve"> concernant </w:t>
      </w:r>
      <w:r w:rsidRPr="00E32163">
        <w:rPr>
          <w:rFonts w:eastAsia="Calibri"/>
          <w:lang w:val="fr-FR"/>
        </w:rPr>
        <w:t>le manque de référence à l’égalité entre les sexes au sein de la famille</w:t>
      </w:r>
      <w:r w:rsidR="00FA3D3A">
        <w:rPr>
          <w:rFonts w:eastAsia="Calibri"/>
          <w:lang w:val="fr-FR"/>
        </w:rPr>
        <w:t xml:space="preserve"> dans sa</w:t>
      </w:r>
      <w:r w:rsidR="00FA3D3A" w:rsidRPr="00DA64F5">
        <w:rPr>
          <w:rFonts w:eastAsia="Calibri"/>
          <w:lang w:val="fr-FR"/>
        </w:rPr>
        <w:t xml:space="preserve"> résolution 26/11 sur la </w:t>
      </w:r>
      <w:r w:rsidR="00FA3D3A" w:rsidRPr="00E32163">
        <w:rPr>
          <w:rFonts w:eastAsia="Calibri"/>
          <w:lang w:val="fr-FR"/>
        </w:rPr>
        <w:t>protection de la famille</w:t>
      </w:r>
      <w:r w:rsidRPr="00E32163">
        <w:rPr>
          <w:rFonts w:eastAsia="Calibri"/>
          <w:lang w:val="fr-FR"/>
        </w:rPr>
        <w:t>. Le 3</w:t>
      </w:r>
      <w:r w:rsidR="005B0E15" w:rsidRPr="00E73028">
        <w:rPr>
          <w:rFonts w:eastAsia="Calibri"/>
          <w:lang w:val="fr-FR"/>
        </w:rPr>
        <w:t> </w:t>
      </w:r>
      <w:r w:rsidRPr="00E73028">
        <w:rPr>
          <w:rFonts w:eastAsia="Calibri"/>
          <w:lang w:val="fr-FR"/>
        </w:rPr>
        <w:t xml:space="preserve">octobre 2014, elle a présenté un projet de déclaration à ce sujet qui a été adopté par le Comité de coordination des </w:t>
      </w:r>
      <w:r w:rsidR="00147C81" w:rsidRPr="004D6249">
        <w:rPr>
          <w:rFonts w:eastAsia="Calibri"/>
          <w:lang w:val="fr-FR"/>
        </w:rPr>
        <w:t>p</w:t>
      </w:r>
      <w:r w:rsidRPr="00CD2281">
        <w:rPr>
          <w:rFonts w:eastAsia="Calibri"/>
          <w:lang w:val="fr-FR"/>
        </w:rPr>
        <w:t xml:space="preserve">rocédures </w:t>
      </w:r>
      <w:r w:rsidR="00147C81" w:rsidRPr="00CD2281">
        <w:rPr>
          <w:rFonts w:eastAsia="Calibri"/>
          <w:lang w:val="fr-FR"/>
        </w:rPr>
        <w:t>s</w:t>
      </w:r>
      <w:r w:rsidRPr="00CD2281">
        <w:rPr>
          <w:rFonts w:eastAsia="Calibri"/>
          <w:lang w:val="fr-FR"/>
        </w:rPr>
        <w:t>péciales.</w:t>
      </w:r>
      <w:r w:rsidR="002D54FB" w:rsidRPr="00CD2281">
        <w:rPr>
          <w:rFonts w:eastAsia="Calibri"/>
          <w:lang w:val="fr-FR"/>
        </w:rPr>
        <w:t xml:space="preserve"> </w:t>
      </w:r>
      <w:r w:rsidRPr="00CD2281">
        <w:rPr>
          <w:rFonts w:eastAsia="Calibri"/>
          <w:lang w:val="fr-FR"/>
        </w:rPr>
        <w:t>Le 2</w:t>
      </w:r>
      <w:r w:rsidR="005B0E15" w:rsidRPr="00CD2281">
        <w:rPr>
          <w:rFonts w:eastAsia="Calibri"/>
          <w:lang w:val="fr-FR"/>
        </w:rPr>
        <w:t> </w:t>
      </w:r>
      <w:r w:rsidRPr="00CD2281">
        <w:rPr>
          <w:rFonts w:eastAsia="Calibri"/>
          <w:lang w:val="fr-FR"/>
        </w:rPr>
        <w:t xml:space="preserve">décembre 2014, elle a </w:t>
      </w:r>
      <w:r w:rsidR="00451343" w:rsidRPr="00CD2281">
        <w:rPr>
          <w:rFonts w:eastAsia="Calibri"/>
          <w:lang w:val="fr-FR"/>
        </w:rPr>
        <w:t xml:space="preserve">participé </w:t>
      </w:r>
      <w:r w:rsidRPr="00CD2281">
        <w:rPr>
          <w:rFonts w:eastAsia="Calibri"/>
          <w:lang w:val="fr-FR"/>
        </w:rPr>
        <w:t>à un débat sur les plans d’action nationaux sur les entreprises et les droits de l’homme lors du Forum des Nations Unies sur les entreprises et les droits de l’homme. Le</w:t>
      </w:r>
      <w:r w:rsidR="00451343" w:rsidRPr="00CD2281">
        <w:rPr>
          <w:rFonts w:eastAsia="Calibri"/>
          <w:lang w:val="fr-FR"/>
        </w:rPr>
        <w:t>s</w:t>
      </w:r>
      <w:r w:rsidRPr="00CD2281">
        <w:rPr>
          <w:rFonts w:eastAsia="Calibri"/>
          <w:lang w:val="fr-FR"/>
        </w:rPr>
        <w:t xml:space="preserve"> 2</w:t>
      </w:r>
      <w:r w:rsidR="003551BA" w:rsidRPr="00CD2281">
        <w:rPr>
          <w:rFonts w:eastAsia="Calibri"/>
          <w:lang w:val="fr-FR"/>
        </w:rPr>
        <w:t> </w:t>
      </w:r>
      <w:r w:rsidRPr="00CD2281">
        <w:rPr>
          <w:rFonts w:eastAsia="Calibri"/>
          <w:lang w:val="fr-FR"/>
        </w:rPr>
        <w:t>et 3 décembre 2014,</w:t>
      </w:r>
      <w:r w:rsidRPr="006F0F1B">
        <w:rPr>
          <w:rFonts w:eastAsia="Calibri"/>
          <w:lang w:val="fr-FR"/>
        </w:rPr>
        <w:t xml:space="preserve"> Emna Aouij et Kamala Chandrakirana ont participé à une réunion d’experts organisée par le Due Diligence Project sur </w:t>
      </w:r>
      <w:r w:rsidR="00451343">
        <w:rPr>
          <w:rFonts w:eastAsia="Calibri"/>
          <w:lang w:val="fr-FR"/>
        </w:rPr>
        <w:t xml:space="preserve">le </w:t>
      </w:r>
      <w:r w:rsidRPr="006F0F1B">
        <w:rPr>
          <w:rFonts w:eastAsia="Calibri"/>
          <w:lang w:val="fr-FR"/>
        </w:rPr>
        <w:t>rôle de l’</w:t>
      </w:r>
      <w:r w:rsidR="003551BA" w:rsidRPr="00ED069E">
        <w:rPr>
          <w:rFonts w:eastAsia="Calibri"/>
          <w:lang w:val="fr-FR"/>
        </w:rPr>
        <w:t>État</w:t>
      </w:r>
      <w:r w:rsidRPr="006F0F1B">
        <w:rPr>
          <w:rFonts w:eastAsia="Calibri"/>
          <w:lang w:val="fr-FR"/>
        </w:rPr>
        <w:t xml:space="preserve"> et la diligence raisonnable </w:t>
      </w:r>
      <w:r w:rsidR="00451343">
        <w:rPr>
          <w:rFonts w:eastAsia="Calibri"/>
          <w:lang w:val="fr-FR"/>
        </w:rPr>
        <w:t xml:space="preserve">s’agissant de </w:t>
      </w:r>
      <w:r w:rsidRPr="006F0F1B">
        <w:rPr>
          <w:rFonts w:eastAsia="Calibri"/>
          <w:lang w:val="fr-FR"/>
        </w:rPr>
        <w:t xml:space="preserve">la discrimination </w:t>
      </w:r>
      <w:r w:rsidR="000529DC">
        <w:rPr>
          <w:rFonts w:eastAsia="Calibri"/>
          <w:lang w:val="fr-FR"/>
        </w:rPr>
        <w:t>à l’égard d</w:t>
      </w:r>
      <w:r w:rsidRPr="006F0F1B">
        <w:rPr>
          <w:rFonts w:eastAsia="Calibri"/>
          <w:lang w:val="fr-FR"/>
        </w:rPr>
        <w:t xml:space="preserve">es femmes dans la vie culturelle et familiale. Au cours de la période examinée, les </w:t>
      </w:r>
      <w:r w:rsidR="00F86312">
        <w:rPr>
          <w:rFonts w:eastAsia="Calibri"/>
          <w:lang w:val="fr-FR"/>
        </w:rPr>
        <w:t xml:space="preserve">membres du Groupe de travail </w:t>
      </w:r>
      <w:r w:rsidRPr="006F0F1B">
        <w:rPr>
          <w:rFonts w:eastAsia="Calibri"/>
          <w:lang w:val="fr-FR"/>
        </w:rPr>
        <w:t xml:space="preserve">ont participé à différentes activités relatives au mandat </w:t>
      </w:r>
      <w:r w:rsidR="00F144C9" w:rsidRPr="006F0F1B">
        <w:rPr>
          <w:rFonts w:eastAsia="Calibri"/>
          <w:lang w:val="fr-FR"/>
        </w:rPr>
        <w:t xml:space="preserve">du </w:t>
      </w:r>
      <w:r w:rsidR="00736F92">
        <w:rPr>
          <w:rFonts w:eastAsia="Calibri"/>
          <w:lang w:val="fr-FR"/>
        </w:rPr>
        <w:t>Groupe de travail</w:t>
      </w:r>
      <w:r w:rsidR="00F144C9" w:rsidRPr="006F0F1B">
        <w:rPr>
          <w:rFonts w:eastAsia="Calibri"/>
          <w:lang w:val="fr-FR"/>
        </w:rPr>
        <w:t xml:space="preserve"> </w:t>
      </w:r>
      <w:r w:rsidRPr="006F0F1B">
        <w:rPr>
          <w:rFonts w:eastAsia="Calibri"/>
          <w:lang w:val="fr-FR"/>
        </w:rPr>
        <w:t xml:space="preserve">dans leurs régions respectives. </w:t>
      </w:r>
    </w:p>
    <w:p w:rsidR="006879D2" w:rsidRPr="006F0F1B" w:rsidRDefault="006879D2" w:rsidP="00C1454D">
      <w:pPr>
        <w:pStyle w:val="HChG"/>
        <w:rPr>
          <w:lang w:val="fr-FR"/>
        </w:rPr>
      </w:pPr>
      <w:bookmarkStart w:id="10" w:name="_Toc412190763"/>
      <w:bookmarkStart w:id="11" w:name="_Toc414009668"/>
      <w:r w:rsidRPr="006F0F1B">
        <w:rPr>
          <w:lang w:val="fr-FR"/>
        </w:rPr>
        <w:tab/>
        <w:t>III.</w:t>
      </w:r>
      <w:r w:rsidRPr="006F0F1B">
        <w:rPr>
          <w:lang w:val="fr-FR"/>
        </w:rPr>
        <w:tab/>
        <w:t>Analyse thématique: éliminer la discrimination à l’égard des</w:t>
      </w:r>
      <w:r w:rsidR="003551BA">
        <w:rPr>
          <w:lang w:val="fr-FR"/>
        </w:rPr>
        <w:t> </w:t>
      </w:r>
      <w:r w:rsidRPr="006F0F1B">
        <w:rPr>
          <w:lang w:val="fr-FR"/>
        </w:rPr>
        <w:t xml:space="preserve">femmes dans la vie </w:t>
      </w:r>
      <w:r w:rsidR="00C1454D">
        <w:rPr>
          <w:lang w:val="fr-FR"/>
        </w:rPr>
        <w:t xml:space="preserve">culturelle </w:t>
      </w:r>
      <w:r w:rsidR="00C1454D" w:rsidRPr="00C1454D">
        <w:rPr>
          <w:lang w:val="fr-FR"/>
        </w:rPr>
        <w:t xml:space="preserve">et </w:t>
      </w:r>
      <w:r w:rsidRPr="00C1454D">
        <w:rPr>
          <w:lang w:val="fr-FR"/>
        </w:rPr>
        <w:t>familiale, notamment la</w:t>
      </w:r>
      <w:r w:rsidR="003551BA" w:rsidRPr="00C1454D">
        <w:rPr>
          <w:lang w:val="fr-FR"/>
        </w:rPr>
        <w:t> </w:t>
      </w:r>
      <w:r w:rsidRPr="00C1454D">
        <w:rPr>
          <w:lang w:val="fr-FR"/>
        </w:rPr>
        <w:t>famille comme espace culturel</w:t>
      </w:r>
      <w:bookmarkEnd w:id="10"/>
      <w:bookmarkEnd w:id="11"/>
    </w:p>
    <w:p w:rsidR="006879D2" w:rsidRPr="006F0F1B" w:rsidRDefault="006879D2" w:rsidP="004740EB">
      <w:pPr>
        <w:pStyle w:val="SingleTxtG"/>
        <w:numPr>
          <w:ilvl w:val="0"/>
          <w:numId w:val="33"/>
        </w:numPr>
        <w:ind w:left="1134" w:firstLine="0"/>
        <w:rPr>
          <w:rFonts w:eastAsia="Calibri"/>
          <w:lang w:val="fr-FR"/>
        </w:rPr>
      </w:pPr>
      <w:r w:rsidRPr="006F0F1B">
        <w:rPr>
          <w:rFonts w:eastAsia="Calibri"/>
          <w:lang w:val="fr-FR"/>
        </w:rPr>
        <w:t>Les droits juridiques des femmes et des filles à l’égalité et à la non-discrimination dans la vie culturelle et familiale, établis en 1948 par l</w:t>
      </w:r>
      <w:r w:rsidR="00F144C9" w:rsidRPr="006F0F1B">
        <w:rPr>
          <w:rFonts w:eastAsia="Calibri"/>
          <w:lang w:val="fr-FR"/>
        </w:rPr>
        <w:t>a</w:t>
      </w:r>
      <w:r w:rsidRPr="006F0F1B">
        <w:rPr>
          <w:rFonts w:eastAsia="Calibri"/>
          <w:lang w:val="fr-FR"/>
        </w:rPr>
        <w:t xml:space="preserve"> Déclaration universelle des droits de l’homme et le droit international relatif aux droits de l’homme, sont souvent limités dans les lois nationales et dans la pratique, y compris dans la pratique culturelle. Le Groupe d</w:t>
      </w:r>
      <w:r w:rsidR="00736F92">
        <w:rPr>
          <w:rFonts w:eastAsia="Calibri"/>
          <w:lang w:val="fr-FR"/>
        </w:rPr>
        <w:t xml:space="preserve">e travail </w:t>
      </w:r>
      <w:r w:rsidRPr="006F0F1B">
        <w:rPr>
          <w:rFonts w:eastAsia="Calibri"/>
          <w:lang w:val="fr-FR"/>
        </w:rPr>
        <w:t xml:space="preserve">souligne, en accord avec le </w:t>
      </w:r>
      <w:r w:rsidR="00161EB5" w:rsidRPr="006F0F1B">
        <w:rPr>
          <w:rFonts w:eastAsia="Calibri"/>
          <w:lang w:val="fr-FR"/>
        </w:rPr>
        <w:t>droit international relatif aux droits de l’homme</w:t>
      </w:r>
      <w:r w:rsidRPr="006F0F1B">
        <w:rPr>
          <w:rFonts w:eastAsia="Calibri"/>
          <w:lang w:val="fr-FR"/>
        </w:rPr>
        <w:t>, que l’</w:t>
      </w:r>
      <w:r w:rsidR="003551BA" w:rsidRPr="00ED069E">
        <w:rPr>
          <w:rFonts w:eastAsia="Calibri"/>
          <w:lang w:val="fr-FR"/>
        </w:rPr>
        <w:t>État</w:t>
      </w:r>
      <w:r w:rsidRPr="006F0F1B">
        <w:rPr>
          <w:rFonts w:eastAsia="Calibri"/>
          <w:lang w:val="fr-FR"/>
        </w:rPr>
        <w:t xml:space="preserve"> a pour obligation de prendre des mesures adaptées </w:t>
      </w:r>
      <w:r w:rsidR="001438CE">
        <w:rPr>
          <w:rFonts w:eastAsia="Calibri"/>
          <w:lang w:val="fr-FR"/>
        </w:rPr>
        <w:t xml:space="preserve">en vue </w:t>
      </w:r>
      <w:r w:rsidRPr="006F0F1B">
        <w:rPr>
          <w:rFonts w:eastAsia="Calibri"/>
          <w:lang w:val="fr-FR"/>
        </w:rPr>
        <w:t xml:space="preserve">d’éliminer toute forme de discrimination contre les femmes et les filles dans les lois, dans les pratiques culturelles et dans la famille, qu’elles soient perpétrées par </w:t>
      </w:r>
      <w:r w:rsidR="00F74577">
        <w:rPr>
          <w:rFonts w:eastAsia="Calibri"/>
          <w:lang w:val="fr-FR"/>
        </w:rPr>
        <w:t>d</w:t>
      </w:r>
      <w:r w:rsidRPr="006F0F1B">
        <w:rPr>
          <w:rFonts w:eastAsia="Calibri"/>
          <w:lang w:val="fr-FR"/>
        </w:rPr>
        <w:t xml:space="preserve">es agents étatiques ou </w:t>
      </w:r>
      <w:r w:rsidR="00F74577">
        <w:rPr>
          <w:rFonts w:eastAsia="Calibri"/>
          <w:lang w:val="fr-FR"/>
        </w:rPr>
        <w:t>d</w:t>
      </w:r>
      <w:r w:rsidRPr="006F0F1B">
        <w:rPr>
          <w:rFonts w:eastAsia="Calibri"/>
          <w:lang w:val="fr-FR"/>
        </w:rPr>
        <w:t xml:space="preserve">es acteurs privés. </w:t>
      </w:r>
    </w:p>
    <w:p w:rsidR="006879D2" w:rsidRPr="006F0F1B" w:rsidRDefault="006879D2" w:rsidP="00963C67">
      <w:pPr>
        <w:pStyle w:val="SingleTxtG"/>
        <w:numPr>
          <w:ilvl w:val="0"/>
          <w:numId w:val="33"/>
        </w:numPr>
        <w:ind w:left="1134" w:firstLine="0"/>
        <w:rPr>
          <w:rFonts w:eastAsia="Calibri"/>
          <w:lang w:val="fr-FR"/>
        </w:rPr>
      </w:pPr>
      <w:r w:rsidRPr="006F0F1B">
        <w:rPr>
          <w:rFonts w:eastAsia="Calibri"/>
          <w:lang w:val="fr-FR"/>
        </w:rPr>
        <w:t xml:space="preserve">Afin d’élaborer </w:t>
      </w:r>
      <w:r w:rsidR="00710B66">
        <w:rPr>
          <w:rFonts w:eastAsia="Calibri"/>
          <w:lang w:val="fr-FR"/>
        </w:rPr>
        <w:t xml:space="preserve">le présent </w:t>
      </w:r>
      <w:r w:rsidRPr="006F0F1B">
        <w:rPr>
          <w:rFonts w:eastAsia="Calibri"/>
          <w:lang w:val="fr-FR"/>
        </w:rPr>
        <w:t xml:space="preserve">rapport, le Groupe </w:t>
      </w:r>
      <w:r w:rsidR="00736F92">
        <w:rPr>
          <w:rFonts w:eastAsia="Calibri"/>
          <w:lang w:val="fr-FR"/>
        </w:rPr>
        <w:t xml:space="preserve">de travail </w:t>
      </w:r>
      <w:r w:rsidRPr="006F0F1B">
        <w:rPr>
          <w:rFonts w:eastAsia="Calibri"/>
          <w:lang w:val="fr-FR"/>
        </w:rPr>
        <w:t xml:space="preserve">a utilisé les </w:t>
      </w:r>
      <w:r w:rsidRPr="00CC0FB5">
        <w:rPr>
          <w:rFonts w:eastAsia="Calibri"/>
          <w:lang w:val="fr-FR"/>
        </w:rPr>
        <w:t xml:space="preserve">réponses </w:t>
      </w:r>
      <w:r w:rsidR="00963C67" w:rsidRPr="00CC0FB5">
        <w:rPr>
          <w:rFonts w:eastAsia="Calibri"/>
          <w:lang w:val="fr-FR"/>
        </w:rPr>
        <w:t xml:space="preserve">à un </w:t>
      </w:r>
      <w:r w:rsidRPr="00CC0FB5">
        <w:rPr>
          <w:rFonts w:eastAsia="Calibri"/>
          <w:lang w:val="fr-FR"/>
        </w:rPr>
        <w:t>questionnaire</w:t>
      </w:r>
      <w:r w:rsidRPr="006F0F1B">
        <w:rPr>
          <w:rFonts w:eastAsia="Calibri"/>
          <w:lang w:val="fr-FR"/>
        </w:rPr>
        <w:t xml:space="preserve"> reçues de 32</w:t>
      </w:r>
      <w:r w:rsidR="005B0E15">
        <w:rPr>
          <w:rFonts w:eastAsia="Calibri"/>
          <w:lang w:val="fr-FR"/>
        </w:rPr>
        <w:t> </w:t>
      </w:r>
      <w:r w:rsidR="003551BA" w:rsidRPr="00ED069E">
        <w:rPr>
          <w:rFonts w:eastAsia="Calibri"/>
          <w:lang w:val="fr-FR"/>
        </w:rPr>
        <w:t>États</w:t>
      </w:r>
      <w:r w:rsidRPr="006F0F1B">
        <w:rPr>
          <w:rFonts w:eastAsia="Calibri"/>
          <w:lang w:val="fr-FR"/>
        </w:rPr>
        <w:t xml:space="preserve"> </w:t>
      </w:r>
      <w:r w:rsidR="009F2348">
        <w:rPr>
          <w:rFonts w:eastAsia="Calibri"/>
          <w:lang w:val="fr-FR"/>
        </w:rPr>
        <w:t>M</w:t>
      </w:r>
      <w:r w:rsidR="009F2348" w:rsidRPr="006F0F1B">
        <w:rPr>
          <w:rFonts w:eastAsia="Calibri"/>
          <w:lang w:val="fr-FR"/>
        </w:rPr>
        <w:t>embres</w:t>
      </w:r>
      <w:r w:rsidRPr="006F0F1B">
        <w:rPr>
          <w:rFonts w:eastAsia="Calibri"/>
          <w:lang w:val="fr-FR"/>
        </w:rPr>
        <w:t xml:space="preserve">, mais aussi les études et recherches de </w:t>
      </w:r>
      <w:r w:rsidRPr="00597CAE">
        <w:rPr>
          <w:rFonts w:eastAsia="Calibri"/>
          <w:lang w:val="fr-FR"/>
        </w:rPr>
        <w:t xml:space="preserve">programmes </w:t>
      </w:r>
      <w:r w:rsidR="004874F0" w:rsidRPr="00597CAE">
        <w:rPr>
          <w:rFonts w:eastAsia="Calibri"/>
          <w:lang w:val="fr-FR"/>
        </w:rPr>
        <w:t>et d</w:t>
      </w:r>
      <w:r w:rsidR="00597CAE" w:rsidRPr="00273ABE">
        <w:rPr>
          <w:rFonts w:eastAsia="Calibri"/>
          <w:lang w:val="fr-FR"/>
        </w:rPr>
        <w:t xml:space="preserve">’organismes </w:t>
      </w:r>
      <w:r w:rsidRPr="00597CAE">
        <w:rPr>
          <w:rFonts w:eastAsia="Calibri"/>
          <w:lang w:val="fr-FR"/>
        </w:rPr>
        <w:t>des N</w:t>
      </w:r>
      <w:r w:rsidRPr="006F0F1B">
        <w:rPr>
          <w:rFonts w:eastAsia="Calibri"/>
          <w:lang w:val="fr-FR"/>
        </w:rPr>
        <w:t>ations Unies, de mécanismes internationaux des droits de l’homme et d’autres parties prenantes qui lui ont été transmis</w:t>
      </w:r>
      <w:r w:rsidR="004874F0">
        <w:rPr>
          <w:rFonts w:eastAsia="Calibri"/>
          <w:lang w:val="fr-FR"/>
        </w:rPr>
        <w:t>es</w:t>
      </w:r>
      <w:r w:rsidRPr="006F0F1B">
        <w:rPr>
          <w:rFonts w:eastAsia="Calibri"/>
          <w:lang w:val="fr-FR"/>
        </w:rPr>
        <w:t xml:space="preserve"> directement ou qui ont été menées récemment sur la question</w:t>
      </w:r>
      <w:r w:rsidRPr="006F0F1B">
        <w:rPr>
          <w:rStyle w:val="FootnoteReference"/>
          <w:rFonts w:eastAsia="Calibri"/>
          <w:lang w:val="fr-FR"/>
        </w:rPr>
        <w:footnoteReference w:id="3"/>
      </w:r>
      <w:r w:rsidRPr="006F0F1B">
        <w:rPr>
          <w:rFonts w:eastAsia="Calibri"/>
          <w:lang w:val="fr-FR"/>
        </w:rPr>
        <w:t xml:space="preserve">. Le </w:t>
      </w:r>
      <w:r w:rsidR="00736F92">
        <w:rPr>
          <w:rFonts w:eastAsia="Calibri"/>
          <w:lang w:val="fr-FR"/>
        </w:rPr>
        <w:t>Groupe de travail</w:t>
      </w:r>
      <w:r w:rsidRPr="006F0F1B">
        <w:rPr>
          <w:rFonts w:eastAsia="Calibri"/>
          <w:lang w:val="fr-FR"/>
        </w:rPr>
        <w:t xml:space="preserve"> a aussi recensé les bonnes </w:t>
      </w:r>
      <w:r w:rsidRPr="006F0F1B">
        <w:rPr>
          <w:rFonts w:eastAsia="Calibri"/>
          <w:lang w:val="fr-FR"/>
        </w:rPr>
        <w:lastRenderedPageBreak/>
        <w:t xml:space="preserve">pratiques concernant </w:t>
      </w:r>
      <w:r w:rsidRPr="00E32163">
        <w:rPr>
          <w:rFonts w:eastAsia="Calibri"/>
          <w:lang w:val="fr-FR"/>
        </w:rPr>
        <w:t>l’égalité dans la famille et la vie culturelle, tel que r</w:t>
      </w:r>
      <w:r w:rsidRPr="006F0F1B">
        <w:rPr>
          <w:rFonts w:eastAsia="Calibri"/>
          <w:lang w:val="fr-FR"/>
        </w:rPr>
        <w:t xml:space="preserve">equis par la </w:t>
      </w:r>
      <w:r w:rsidRPr="00DA64F5">
        <w:rPr>
          <w:rFonts w:eastAsia="Calibri"/>
          <w:lang w:val="fr-FR"/>
        </w:rPr>
        <w:t xml:space="preserve">résolution 15/23 du </w:t>
      </w:r>
      <w:r w:rsidR="003B1BF8" w:rsidRPr="00DA64F5">
        <w:rPr>
          <w:rFonts w:eastAsia="Calibri"/>
          <w:lang w:val="fr-FR"/>
        </w:rPr>
        <w:t>Conseil des droits de l’homme</w:t>
      </w:r>
      <w:r w:rsidRPr="00DA64F5">
        <w:rPr>
          <w:rFonts w:eastAsia="Calibri"/>
          <w:lang w:val="fr-FR"/>
        </w:rPr>
        <w:t>.</w:t>
      </w:r>
      <w:r w:rsidRPr="006F0F1B" w:rsidDel="005903D3">
        <w:rPr>
          <w:rFonts w:eastAsia="Calibri"/>
          <w:vertAlign w:val="superscript"/>
          <w:lang w:val="fr-FR"/>
        </w:rPr>
        <w:t xml:space="preserve"> </w:t>
      </w:r>
    </w:p>
    <w:p w:rsidR="006879D2" w:rsidRPr="006F0F1B" w:rsidRDefault="006879D2" w:rsidP="006879D2">
      <w:pPr>
        <w:pStyle w:val="H1G"/>
        <w:rPr>
          <w:lang w:val="fr-FR"/>
        </w:rPr>
      </w:pPr>
      <w:bookmarkStart w:id="12" w:name="_Toc412190764"/>
      <w:bookmarkStart w:id="13" w:name="_Toc414009669"/>
      <w:r w:rsidRPr="006F0F1B">
        <w:rPr>
          <w:lang w:val="fr-FR"/>
        </w:rPr>
        <w:tab/>
        <w:t>A.</w:t>
      </w:r>
      <w:r w:rsidRPr="006F0F1B">
        <w:rPr>
          <w:lang w:val="fr-FR"/>
        </w:rPr>
        <w:tab/>
        <w:t>La construction culturelle du genre</w:t>
      </w:r>
      <w:bookmarkEnd w:id="12"/>
      <w:bookmarkEnd w:id="13"/>
    </w:p>
    <w:p w:rsidR="006879D2" w:rsidRPr="006F0F1B" w:rsidRDefault="006879D2" w:rsidP="004740EB">
      <w:pPr>
        <w:pStyle w:val="SingleTxtG"/>
        <w:numPr>
          <w:ilvl w:val="0"/>
          <w:numId w:val="33"/>
        </w:numPr>
        <w:ind w:left="1134" w:firstLine="0"/>
        <w:rPr>
          <w:rFonts w:eastAsia="Calibri"/>
          <w:lang w:val="fr-FR"/>
        </w:rPr>
      </w:pPr>
      <w:r w:rsidRPr="006F0F1B">
        <w:rPr>
          <w:rFonts w:eastAsia="Calibri"/>
          <w:lang w:val="fr-FR"/>
        </w:rPr>
        <w:t>La culture est un</w:t>
      </w:r>
      <w:r w:rsidR="004874F0">
        <w:rPr>
          <w:rFonts w:eastAsia="Calibri"/>
          <w:lang w:val="fr-FR"/>
        </w:rPr>
        <w:t>e notion vaste qui englobe</w:t>
      </w:r>
      <w:r w:rsidRPr="006F0F1B">
        <w:rPr>
          <w:rFonts w:eastAsia="Calibri"/>
          <w:lang w:val="fr-FR"/>
        </w:rPr>
        <w:t xml:space="preserve"> toutes les formes de conduite, d</w:t>
      </w:r>
      <w:r w:rsidR="00272691">
        <w:rPr>
          <w:rFonts w:eastAsia="Calibri"/>
          <w:lang w:val="fr-FR"/>
        </w:rPr>
        <w:t>’</w:t>
      </w:r>
      <w:r w:rsidRPr="006F0F1B">
        <w:rPr>
          <w:rFonts w:eastAsia="Calibri"/>
          <w:lang w:val="fr-FR"/>
        </w:rPr>
        <w:t>organisation et de comportement humain dans les cadres de la société</w:t>
      </w:r>
      <w:r w:rsidRPr="006F0F1B">
        <w:rPr>
          <w:rStyle w:val="FootnoteReference"/>
          <w:rFonts w:eastAsia="Calibri"/>
          <w:lang w:val="fr-FR"/>
        </w:rPr>
        <w:footnoteReference w:id="4"/>
      </w:r>
      <w:r w:rsidRPr="006F0F1B">
        <w:rPr>
          <w:rFonts w:eastAsia="Calibri"/>
          <w:lang w:val="fr-FR"/>
        </w:rPr>
        <w:t>, y compris la famille, la langue, la religion, la philosophie, le droit, le gouvernement, l</w:t>
      </w:r>
      <w:r w:rsidR="00272691">
        <w:rPr>
          <w:rFonts w:eastAsia="Calibri"/>
          <w:lang w:val="fr-FR"/>
        </w:rPr>
        <w:t>’</w:t>
      </w:r>
      <w:r w:rsidRPr="006F0F1B">
        <w:rPr>
          <w:rFonts w:eastAsia="Calibri"/>
          <w:lang w:val="fr-FR"/>
        </w:rPr>
        <w:t>art et le sport</w:t>
      </w:r>
      <w:r w:rsidRPr="006F0F1B">
        <w:rPr>
          <w:rStyle w:val="FootnoteReference"/>
          <w:rFonts w:eastAsia="Calibri"/>
          <w:lang w:val="fr-FR"/>
        </w:rPr>
        <w:footnoteReference w:id="5"/>
      </w:r>
      <w:r w:rsidRPr="006F0F1B">
        <w:rPr>
          <w:rFonts w:eastAsia="Calibri"/>
          <w:lang w:val="fr-FR"/>
        </w:rPr>
        <w:t xml:space="preserve">. La diversité de la culture se forme lorsque que celle-ci s’exprime et se développe dans des contextes divers de la société. La culture n’est pas un concept statique ni immuable, bien que certains </w:t>
      </w:r>
      <w:r w:rsidR="00272691" w:rsidRPr="00ED069E">
        <w:rPr>
          <w:rFonts w:eastAsia="Calibri"/>
          <w:lang w:val="fr-FR"/>
        </w:rPr>
        <w:t>États</w:t>
      </w:r>
      <w:r w:rsidRPr="006F0F1B">
        <w:rPr>
          <w:rFonts w:eastAsia="Calibri"/>
          <w:lang w:val="fr-FR"/>
        </w:rPr>
        <w:t xml:space="preserve"> aient tendance à la présenter de telle manière pour justifier des inégalités entre les hommes et les femmes. Ce </w:t>
      </w:r>
      <w:r w:rsidRPr="00DA64F5">
        <w:rPr>
          <w:rFonts w:eastAsia="Calibri"/>
          <w:lang w:val="fr-FR"/>
        </w:rPr>
        <w:t>processus vivant, dynamique et évolutif</w:t>
      </w:r>
      <w:r w:rsidRPr="00DA64F5">
        <w:rPr>
          <w:rStyle w:val="FootnoteReference"/>
          <w:rFonts w:eastAsia="Calibri"/>
          <w:lang w:val="fr-FR"/>
        </w:rPr>
        <w:footnoteReference w:id="6"/>
      </w:r>
      <w:r w:rsidRPr="00DA64F5">
        <w:rPr>
          <w:rFonts w:eastAsia="Calibri"/>
          <w:lang w:val="fr-FR"/>
        </w:rPr>
        <w:t xml:space="preserve"> pénètre toutes les activités et institutions humaines, y compris les systèmes juridiques, dans toutes les sociétés du monde</w:t>
      </w:r>
      <w:r w:rsidRPr="006F0F1B">
        <w:rPr>
          <w:rStyle w:val="FootnoteReference"/>
          <w:rFonts w:eastAsia="Calibri"/>
          <w:lang w:val="fr-FR"/>
        </w:rPr>
        <w:footnoteReference w:id="7"/>
      </w:r>
      <w:r w:rsidRPr="00ED069E">
        <w:rPr>
          <w:rFonts w:eastAsia="Calibri"/>
          <w:lang w:val="fr-FR"/>
        </w:rPr>
        <w:t>.</w:t>
      </w:r>
      <w:r w:rsidRPr="006F0F1B">
        <w:rPr>
          <w:rFonts w:eastAsia="Calibri"/>
          <w:lang w:val="fr-FR"/>
        </w:rPr>
        <w:t xml:space="preserve"> Considérer l</w:t>
      </w:r>
      <w:r w:rsidRPr="006F0F1B">
        <w:rPr>
          <w:rFonts w:eastAsia="Calibri"/>
          <w:color w:val="000000"/>
          <w:lang w:val="fr-FR"/>
        </w:rPr>
        <w:t>a culture et les croyances comme des éléments immuables constitue un frein à la réalisation et au développement de tous les droits de l’homme, y</w:t>
      </w:r>
      <w:r w:rsidR="001438CE">
        <w:rPr>
          <w:rFonts w:eastAsia="Calibri"/>
          <w:color w:val="000000"/>
          <w:lang w:val="fr-FR"/>
        </w:rPr>
        <w:t> </w:t>
      </w:r>
      <w:r w:rsidRPr="006F0F1B">
        <w:rPr>
          <w:rFonts w:eastAsia="Calibri"/>
          <w:color w:val="000000"/>
          <w:lang w:val="fr-FR"/>
        </w:rPr>
        <w:t xml:space="preserve">compris </w:t>
      </w:r>
      <w:r w:rsidR="002B305E" w:rsidRPr="006F0F1B">
        <w:rPr>
          <w:rFonts w:eastAsia="Calibri"/>
          <w:color w:val="000000"/>
          <w:lang w:val="fr-FR"/>
        </w:rPr>
        <w:t>ceux</w:t>
      </w:r>
      <w:r w:rsidRPr="006F0F1B">
        <w:rPr>
          <w:rFonts w:eastAsia="Calibri"/>
          <w:color w:val="000000"/>
          <w:lang w:val="fr-FR"/>
        </w:rPr>
        <w:t xml:space="preserve"> des femmes.</w:t>
      </w:r>
    </w:p>
    <w:p w:rsidR="006879D2" w:rsidRPr="00CD2281" w:rsidRDefault="006879D2" w:rsidP="005258C4">
      <w:pPr>
        <w:pStyle w:val="SingleTxtG"/>
        <w:numPr>
          <w:ilvl w:val="0"/>
          <w:numId w:val="33"/>
        </w:numPr>
        <w:ind w:left="1134" w:firstLine="0"/>
        <w:rPr>
          <w:rFonts w:eastAsia="Calibri"/>
          <w:lang w:val="fr-FR"/>
        </w:rPr>
      </w:pPr>
      <w:r w:rsidRPr="006F0F1B">
        <w:rPr>
          <w:rFonts w:eastAsia="Calibri"/>
          <w:lang w:val="fr-FR"/>
        </w:rPr>
        <w:t xml:space="preserve">Le </w:t>
      </w:r>
      <w:r w:rsidR="00736F92">
        <w:rPr>
          <w:rFonts w:eastAsia="Calibri"/>
          <w:lang w:val="fr-FR"/>
        </w:rPr>
        <w:t>Groupe de travail</w:t>
      </w:r>
      <w:r w:rsidRPr="006F0F1B">
        <w:rPr>
          <w:rFonts w:eastAsia="Calibri"/>
          <w:lang w:val="fr-FR"/>
        </w:rPr>
        <w:t xml:space="preserve"> s’appuie sur le cadre normatif </w:t>
      </w:r>
      <w:r w:rsidR="005258C4">
        <w:rPr>
          <w:rFonts w:eastAsia="Calibri"/>
          <w:lang w:val="fr-FR"/>
        </w:rPr>
        <w:t>établi</w:t>
      </w:r>
      <w:r w:rsidRPr="006F0F1B">
        <w:rPr>
          <w:rFonts w:eastAsia="Calibri"/>
          <w:lang w:val="fr-FR"/>
        </w:rPr>
        <w:t xml:space="preserve"> par la communauté des droits de l</w:t>
      </w:r>
      <w:r w:rsidR="00272691">
        <w:rPr>
          <w:rFonts w:eastAsia="Calibri"/>
          <w:lang w:val="fr-FR"/>
        </w:rPr>
        <w:t>’</w:t>
      </w:r>
      <w:r w:rsidRPr="006F0F1B">
        <w:rPr>
          <w:rFonts w:eastAsia="Calibri"/>
          <w:lang w:val="fr-FR"/>
        </w:rPr>
        <w:t xml:space="preserve">homme </w:t>
      </w:r>
      <w:r w:rsidRPr="005258C4">
        <w:rPr>
          <w:rFonts w:eastAsia="Calibri"/>
          <w:lang w:val="fr-FR"/>
        </w:rPr>
        <w:t>sur</w:t>
      </w:r>
      <w:r w:rsidRPr="006F0F1B">
        <w:rPr>
          <w:rFonts w:eastAsia="Calibri"/>
          <w:lang w:val="fr-FR"/>
        </w:rPr>
        <w:t xml:space="preserve"> le droit des femmes à participer</w:t>
      </w:r>
      <w:r w:rsidR="00D62654">
        <w:rPr>
          <w:rFonts w:eastAsia="Calibri"/>
          <w:lang w:val="fr-FR"/>
        </w:rPr>
        <w:t>,</w:t>
      </w:r>
      <w:r w:rsidRPr="006F0F1B">
        <w:rPr>
          <w:rFonts w:eastAsia="Calibri"/>
          <w:lang w:val="fr-FR"/>
        </w:rPr>
        <w:t xml:space="preserve"> sur un pied d’égalité avec les hommes</w:t>
      </w:r>
      <w:r w:rsidR="00D62654">
        <w:rPr>
          <w:rFonts w:eastAsia="Calibri"/>
          <w:lang w:val="fr-FR"/>
        </w:rPr>
        <w:t>,</w:t>
      </w:r>
      <w:r w:rsidRPr="006F0F1B">
        <w:rPr>
          <w:rFonts w:eastAsia="Calibri"/>
          <w:lang w:val="fr-FR"/>
        </w:rPr>
        <w:t xml:space="preserve"> à la création, à la contestation</w:t>
      </w:r>
      <w:r w:rsidR="00D62654">
        <w:rPr>
          <w:rFonts w:eastAsia="Calibri"/>
          <w:lang w:val="fr-FR"/>
        </w:rPr>
        <w:t xml:space="preserve">, à </w:t>
      </w:r>
      <w:r w:rsidRPr="006F0F1B">
        <w:rPr>
          <w:rFonts w:eastAsia="Calibri"/>
          <w:lang w:val="fr-FR"/>
        </w:rPr>
        <w:t xml:space="preserve">la recréation de leurs cultures et </w:t>
      </w:r>
      <w:r w:rsidR="00D62654">
        <w:rPr>
          <w:rFonts w:eastAsia="Calibri"/>
          <w:lang w:val="fr-FR"/>
        </w:rPr>
        <w:t xml:space="preserve">à </w:t>
      </w:r>
      <w:r w:rsidRPr="006F0F1B">
        <w:rPr>
          <w:rFonts w:eastAsia="Calibri"/>
          <w:lang w:val="fr-FR"/>
        </w:rPr>
        <w:t>tous les aspects de la vie culturelle.</w:t>
      </w:r>
      <w:r w:rsidRPr="00ED069E">
        <w:rPr>
          <w:rFonts w:eastAsia="Calibri"/>
          <w:lang w:val="fr-FR"/>
        </w:rPr>
        <w:t xml:space="preserve"> </w:t>
      </w:r>
      <w:r w:rsidRPr="006F0F1B">
        <w:rPr>
          <w:rFonts w:eastAsia="Calibri"/>
          <w:lang w:val="fr-FR"/>
        </w:rPr>
        <w:t xml:space="preserve">La participation, l’accès et la contribution de tous et de façon égalitaire à la vie culturelle sont garantis par le </w:t>
      </w:r>
      <w:r w:rsidR="00161EB5" w:rsidRPr="006F0F1B">
        <w:rPr>
          <w:rFonts w:eastAsia="Calibri"/>
          <w:lang w:val="fr-FR"/>
        </w:rPr>
        <w:t>droit international relatif aux droits de l’homme</w:t>
      </w:r>
      <w:r w:rsidRPr="006F0F1B">
        <w:rPr>
          <w:rFonts w:eastAsia="Calibri"/>
          <w:lang w:val="fr-FR"/>
        </w:rPr>
        <w:t xml:space="preserve"> notamment </w:t>
      </w:r>
      <w:r w:rsidR="00D62654" w:rsidRPr="00DA64F5">
        <w:rPr>
          <w:rFonts w:eastAsia="Calibri"/>
          <w:lang w:val="fr-FR"/>
        </w:rPr>
        <w:t xml:space="preserve">les </w:t>
      </w:r>
      <w:r w:rsidR="00AE7DC6" w:rsidRPr="00DA64F5">
        <w:rPr>
          <w:rFonts w:eastAsia="Calibri"/>
          <w:lang w:val="fr-FR"/>
        </w:rPr>
        <w:t>articles </w:t>
      </w:r>
      <w:r w:rsidRPr="00DA64F5">
        <w:rPr>
          <w:rFonts w:eastAsia="Calibri"/>
          <w:lang w:val="fr-FR"/>
        </w:rPr>
        <w:t>5 et 13</w:t>
      </w:r>
      <w:r w:rsidR="00F970B4" w:rsidRPr="00E32163">
        <w:rPr>
          <w:rFonts w:eastAsia="Calibri"/>
          <w:lang w:val="fr-FR"/>
        </w:rPr>
        <w:t> </w:t>
      </w:r>
      <w:r w:rsidRPr="00E32163">
        <w:rPr>
          <w:rFonts w:eastAsia="Calibri"/>
          <w:lang w:val="fr-FR"/>
        </w:rPr>
        <w:t>c) de la Convention sur l’élimination de toutes les formes de discrimination à l’égard des femmes</w:t>
      </w:r>
      <w:r w:rsidRPr="0016746E">
        <w:rPr>
          <w:rFonts w:eastAsia="Calibri"/>
          <w:lang w:val="fr-FR"/>
        </w:rPr>
        <w:t>, l’</w:t>
      </w:r>
      <w:r w:rsidR="00272691" w:rsidRPr="00E73028">
        <w:rPr>
          <w:rFonts w:eastAsia="Calibri"/>
          <w:lang w:val="fr-FR"/>
        </w:rPr>
        <w:t>article </w:t>
      </w:r>
      <w:r w:rsidRPr="00E73028">
        <w:rPr>
          <w:rFonts w:eastAsia="Calibri"/>
          <w:lang w:val="fr-FR"/>
        </w:rPr>
        <w:t>27</w:t>
      </w:r>
      <w:r w:rsidR="00D62654" w:rsidRPr="00E73028">
        <w:rPr>
          <w:rFonts w:eastAsia="Calibri"/>
          <w:lang w:val="fr-FR"/>
        </w:rPr>
        <w:t>, paragraphe</w:t>
      </w:r>
      <w:r w:rsidR="00F970B4" w:rsidRPr="004D6249">
        <w:rPr>
          <w:rFonts w:eastAsia="Calibri"/>
          <w:lang w:val="fr-FR"/>
        </w:rPr>
        <w:t> </w:t>
      </w:r>
      <w:r w:rsidRPr="00CD2281">
        <w:rPr>
          <w:rFonts w:eastAsia="Calibri"/>
          <w:lang w:val="fr-FR"/>
        </w:rPr>
        <w:t>1</w:t>
      </w:r>
      <w:r w:rsidR="00D62654" w:rsidRPr="00CD2281">
        <w:rPr>
          <w:rFonts w:eastAsia="Calibri"/>
          <w:lang w:val="fr-FR"/>
        </w:rPr>
        <w:t>,</w:t>
      </w:r>
      <w:r w:rsidRPr="00CD2281">
        <w:rPr>
          <w:rFonts w:eastAsia="Calibri"/>
          <w:lang w:val="fr-FR"/>
        </w:rPr>
        <w:t xml:space="preserve"> de la </w:t>
      </w:r>
      <w:r w:rsidR="00161EB5" w:rsidRPr="00CD2281">
        <w:rPr>
          <w:rFonts w:eastAsia="Calibri"/>
          <w:lang w:val="fr-FR"/>
        </w:rPr>
        <w:t xml:space="preserve">Déclaration universelle des droits de l’homme </w:t>
      </w:r>
      <w:r w:rsidRPr="00CD2281">
        <w:rPr>
          <w:rFonts w:eastAsia="Calibri"/>
          <w:lang w:val="fr-FR"/>
        </w:rPr>
        <w:t>et l’</w:t>
      </w:r>
      <w:r w:rsidR="00272691" w:rsidRPr="00CD2281">
        <w:rPr>
          <w:rFonts w:eastAsia="Calibri"/>
          <w:lang w:val="fr-FR"/>
        </w:rPr>
        <w:t>article </w:t>
      </w:r>
      <w:r w:rsidRPr="00CD2281">
        <w:rPr>
          <w:rFonts w:eastAsia="Calibri"/>
          <w:lang w:val="fr-FR"/>
        </w:rPr>
        <w:t>15 du Pacte international relatif aux droits économiques, sociaux et culturels.</w:t>
      </w:r>
    </w:p>
    <w:p w:rsidR="006879D2" w:rsidRPr="00ED069E" w:rsidRDefault="006879D2" w:rsidP="009F2348">
      <w:pPr>
        <w:pStyle w:val="SingleTxtG"/>
        <w:numPr>
          <w:ilvl w:val="0"/>
          <w:numId w:val="33"/>
        </w:numPr>
        <w:ind w:left="1134" w:firstLine="0"/>
        <w:rPr>
          <w:rFonts w:eastAsia="Calibri"/>
          <w:lang w:val="fr-FR"/>
        </w:rPr>
      </w:pPr>
      <w:r w:rsidRPr="00CD2281">
        <w:rPr>
          <w:rFonts w:eastAsia="Calibri"/>
          <w:lang w:val="fr-FR"/>
        </w:rPr>
        <w:t>La construction du genre est profondément intégrée dans l</w:t>
      </w:r>
      <w:r w:rsidR="00F144C9" w:rsidRPr="00CD2281">
        <w:rPr>
          <w:rFonts w:eastAsia="Calibri"/>
          <w:lang w:val="fr-FR"/>
        </w:rPr>
        <w:t>es</w:t>
      </w:r>
      <w:r w:rsidRPr="00CD2281">
        <w:rPr>
          <w:rFonts w:eastAsia="Calibri"/>
          <w:lang w:val="fr-FR"/>
        </w:rPr>
        <w:t xml:space="preserve"> culture</w:t>
      </w:r>
      <w:r w:rsidR="00F144C9" w:rsidRPr="00CD2281">
        <w:rPr>
          <w:rFonts w:eastAsia="Calibri"/>
          <w:lang w:val="fr-FR"/>
        </w:rPr>
        <w:t>s</w:t>
      </w:r>
      <w:r w:rsidRPr="00CD2281">
        <w:rPr>
          <w:rFonts w:eastAsia="Calibri"/>
          <w:lang w:val="fr-FR"/>
        </w:rPr>
        <w:t xml:space="preserve">. </w:t>
      </w:r>
      <w:r w:rsidR="00BE75B2" w:rsidRPr="00CD2281">
        <w:rPr>
          <w:rFonts w:eastAsia="Calibri"/>
          <w:lang w:val="fr-FR"/>
        </w:rPr>
        <w:t>Dans s</w:t>
      </w:r>
      <w:r w:rsidRPr="00CD2281">
        <w:rPr>
          <w:rFonts w:eastAsia="Calibri"/>
          <w:lang w:val="fr-FR"/>
        </w:rPr>
        <w:t xml:space="preserve">a recommandation générale </w:t>
      </w:r>
      <w:r w:rsidR="004E0A11" w:rsidRPr="00CD2281">
        <w:rPr>
          <w:rFonts w:eastAsia="Calibri"/>
          <w:lang w:val="fr-FR"/>
        </w:rPr>
        <w:t>n</w:t>
      </w:r>
      <w:r w:rsidR="004E0A11" w:rsidRPr="00CD2281">
        <w:rPr>
          <w:rFonts w:eastAsia="Calibri"/>
          <w:vertAlign w:val="superscript"/>
          <w:lang w:val="fr-FR"/>
        </w:rPr>
        <w:t>o</w:t>
      </w:r>
      <w:r w:rsidR="004E0A11" w:rsidRPr="00CD2281">
        <w:rPr>
          <w:rFonts w:eastAsia="Calibri"/>
          <w:lang w:val="fr-FR"/>
        </w:rPr>
        <w:t> 28</w:t>
      </w:r>
      <w:r w:rsidR="00BE75B2" w:rsidRPr="00CD2281">
        <w:rPr>
          <w:rFonts w:eastAsia="Calibri"/>
          <w:lang w:val="fr-FR"/>
        </w:rPr>
        <w:t>,</w:t>
      </w:r>
      <w:r w:rsidR="004E0A11" w:rsidRPr="00CD2281">
        <w:rPr>
          <w:rFonts w:eastAsia="Calibri"/>
          <w:lang w:val="fr-FR"/>
        </w:rPr>
        <w:t xml:space="preserve"> </w:t>
      </w:r>
      <w:r w:rsidR="00BE75B2" w:rsidRPr="00CD2281">
        <w:rPr>
          <w:rFonts w:eastAsia="Calibri"/>
          <w:lang w:val="fr-FR"/>
        </w:rPr>
        <w:t xml:space="preserve">le </w:t>
      </w:r>
      <w:r w:rsidRPr="00CD2281">
        <w:rPr>
          <w:rFonts w:eastAsia="Calibri"/>
          <w:lang w:val="fr-FR"/>
        </w:rPr>
        <w:t xml:space="preserve">Comité pour l’élimination de la discrimination à l’égard des femmes </w:t>
      </w:r>
      <w:r w:rsidR="00BE75B2" w:rsidRPr="00CD2281">
        <w:rPr>
          <w:rFonts w:eastAsia="Calibri"/>
          <w:lang w:val="fr-FR"/>
        </w:rPr>
        <w:t xml:space="preserve">indique que le mot </w:t>
      </w:r>
      <w:r w:rsidRPr="00CD2281">
        <w:rPr>
          <w:rFonts w:eastAsia="Calibri"/>
          <w:lang w:val="fr-FR"/>
        </w:rPr>
        <w:t xml:space="preserve">genre </w:t>
      </w:r>
      <w:r w:rsidR="00BE75B2" w:rsidRPr="00CD2281">
        <w:rPr>
          <w:rFonts w:eastAsia="Calibri"/>
          <w:lang w:val="fr-FR"/>
        </w:rPr>
        <w:t>«</w:t>
      </w:r>
      <w:r w:rsidR="00BE75B2" w:rsidRPr="00273ABE">
        <w:rPr>
          <w:rFonts w:eastAsia="Calibri"/>
          <w:lang w:val="fr-FR"/>
        </w:rPr>
        <w:t xml:space="preserve">renvoie à </w:t>
      </w:r>
      <w:r w:rsidRPr="00DA64F5">
        <w:rPr>
          <w:rFonts w:eastAsia="Calibri"/>
          <w:lang w:val="fr-FR"/>
        </w:rPr>
        <w:t xml:space="preserve">l’identité, aux attributs et au rôle de la femme et de l’homme, tels qu’ils sont définis par la société, et à la signification sociale et culturelle que la société donne aux différences biologiques, ce qui engendre des rapports hiérarchiques entre femmes et hommes et se traduit par une répartition du pouvoir et des droits favorable aux hommes et </w:t>
      </w:r>
      <w:r w:rsidRPr="00E32163">
        <w:rPr>
          <w:rFonts w:eastAsia="Calibri"/>
          <w:lang w:val="fr-FR"/>
        </w:rPr>
        <w:t>désavantageux pour les femmes. Ce positionnement social de la femme et de l’homme est fonction de facteurs politiques, économiques, culturels, sociaux, re</w:t>
      </w:r>
      <w:r w:rsidRPr="00E73028">
        <w:rPr>
          <w:rFonts w:eastAsia="Calibri"/>
          <w:lang w:val="fr-FR"/>
        </w:rPr>
        <w:t>ligieux, idéologiques et environnementaux et peut se modifier en fonction de la culture, de la société et du groupe social</w:t>
      </w:r>
      <w:r w:rsidRPr="006F0F1B">
        <w:rPr>
          <w:rStyle w:val="FootnoteReference"/>
          <w:rFonts w:eastAsia="Calibri"/>
          <w:lang w:val="fr-FR"/>
        </w:rPr>
        <w:footnoteReference w:id="8"/>
      </w:r>
      <w:r w:rsidR="005B0E15">
        <w:rPr>
          <w:rFonts w:eastAsia="Calibri"/>
          <w:lang w:val="fr-FR"/>
        </w:rPr>
        <w:t>.</w:t>
      </w:r>
      <w:r w:rsidR="009F2348" w:rsidRPr="00E73028">
        <w:rPr>
          <w:rFonts w:eastAsia="Calibri"/>
          <w:lang w:val="fr-FR"/>
        </w:rPr>
        <w:t>»</w:t>
      </w:r>
    </w:p>
    <w:p w:rsidR="006879D2" w:rsidRPr="006F0F1B" w:rsidRDefault="006879D2" w:rsidP="000529DC">
      <w:pPr>
        <w:pStyle w:val="SingleTxtG"/>
        <w:numPr>
          <w:ilvl w:val="0"/>
          <w:numId w:val="33"/>
        </w:numPr>
        <w:ind w:left="1134" w:firstLine="0"/>
        <w:rPr>
          <w:rFonts w:eastAsia="Calibri"/>
          <w:lang w:val="fr-FR"/>
        </w:rPr>
      </w:pPr>
      <w:r w:rsidRPr="006F0F1B">
        <w:rPr>
          <w:rFonts w:eastAsia="Calibri"/>
          <w:lang w:val="fr-FR"/>
        </w:rPr>
        <w:t xml:space="preserve">La construction culturelle du genre facilite la discrimination généralisée </w:t>
      </w:r>
      <w:r w:rsidR="000529DC">
        <w:rPr>
          <w:rFonts w:eastAsia="Calibri"/>
          <w:lang w:val="fr-FR"/>
        </w:rPr>
        <w:t>à l’égard d</w:t>
      </w:r>
      <w:r w:rsidRPr="006F0F1B">
        <w:rPr>
          <w:rFonts w:eastAsia="Calibri"/>
          <w:lang w:val="fr-FR"/>
        </w:rPr>
        <w:t xml:space="preserve">es femmes dans toutes les cultures. La discrimination contre les femmes et les filles ne peut donc être considérée comme étant </w:t>
      </w:r>
      <w:r w:rsidRPr="00F86312">
        <w:rPr>
          <w:rFonts w:eastAsia="Calibri"/>
          <w:lang w:val="fr-FR"/>
        </w:rPr>
        <w:t>essentialiste</w:t>
      </w:r>
      <w:r w:rsidRPr="006F0F1B">
        <w:rPr>
          <w:rFonts w:eastAsia="Calibri"/>
          <w:lang w:val="fr-FR"/>
        </w:rPr>
        <w:t xml:space="preserve"> et uniquement</w:t>
      </w:r>
      <w:r w:rsidRPr="00ED069E">
        <w:rPr>
          <w:rFonts w:eastAsia="Calibri"/>
          <w:lang w:val="fr-FR"/>
        </w:rPr>
        <w:t xml:space="preserve"> i</w:t>
      </w:r>
      <w:r w:rsidRPr="006F0F1B">
        <w:rPr>
          <w:rFonts w:eastAsia="Calibri"/>
          <w:lang w:val="fr-FR"/>
        </w:rPr>
        <w:t>ntégrée dans certaines cultures, et pas dans d</w:t>
      </w:r>
      <w:r w:rsidR="00272691">
        <w:rPr>
          <w:rFonts w:eastAsia="Calibri"/>
          <w:lang w:val="fr-FR"/>
        </w:rPr>
        <w:t>’</w:t>
      </w:r>
      <w:r w:rsidRPr="006F0F1B">
        <w:rPr>
          <w:rFonts w:eastAsia="Calibri"/>
          <w:lang w:val="fr-FR"/>
        </w:rPr>
        <w:t xml:space="preserve">autres. </w:t>
      </w:r>
      <w:r w:rsidR="0028253A">
        <w:rPr>
          <w:rFonts w:eastAsia="Calibri"/>
          <w:lang w:val="fr-FR"/>
        </w:rPr>
        <w:t>C</w:t>
      </w:r>
      <w:r w:rsidRPr="006F0F1B">
        <w:rPr>
          <w:rFonts w:eastAsia="Calibri"/>
          <w:lang w:val="fr-FR"/>
        </w:rPr>
        <w:t>omme les cultures ne sont ni homogènes</w:t>
      </w:r>
      <w:r w:rsidR="002C28F2">
        <w:rPr>
          <w:rFonts w:eastAsia="Calibri"/>
          <w:lang w:val="fr-FR"/>
        </w:rPr>
        <w:t>,</w:t>
      </w:r>
      <w:r w:rsidRPr="006F0F1B">
        <w:rPr>
          <w:rFonts w:eastAsia="Calibri"/>
          <w:lang w:val="fr-FR"/>
        </w:rPr>
        <w:t xml:space="preserve"> ni immuables, il existe </w:t>
      </w:r>
      <w:r w:rsidR="002C28F2">
        <w:rPr>
          <w:rFonts w:eastAsia="Calibri"/>
          <w:lang w:val="fr-FR"/>
        </w:rPr>
        <w:t xml:space="preserve">entre elles </w:t>
      </w:r>
      <w:r w:rsidRPr="006F0F1B">
        <w:rPr>
          <w:rFonts w:eastAsia="Calibri"/>
          <w:lang w:val="fr-FR"/>
        </w:rPr>
        <w:t xml:space="preserve">des différences très importantes </w:t>
      </w:r>
      <w:r w:rsidRPr="00F86312">
        <w:rPr>
          <w:rFonts w:eastAsia="Calibri"/>
          <w:lang w:val="fr-FR"/>
        </w:rPr>
        <w:t xml:space="preserve">concernant leurs stades de </w:t>
      </w:r>
      <w:r w:rsidRPr="00F86312">
        <w:rPr>
          <w:rFonts w:eastAsia="Calibri"/>
          <w:lang w:val="fr-FR"/>
        </w:rPr>
        <w:lastRenderedPageBreak/>
        <w:t>développement, e</w:t>
      </w:r>
      <w:r w:rsidRPr="006F0F1B">
        <w:rPr>
          <w:rFonts w:eastAsia="Calibri"/>
          <w:lang w:val="fr-FR"/>
        </w:rPr>
        <w:t>t</w:t>
      </w:r>
      <w:r w:rsidR="002D54FB" w:rsidRPr="006F0F1B">
        <w:rPr>
          <w:rFonts w:eastAsia="Calibri"/>
          <w:lang w:val="fr-FR"/>
        </w:rPr>
        <w:t xml:space="preserve"> </w:t>
      </w:r>
      <w:r w:rsidRPr="006F0F1B">
        <w:rPr>
          <w:rFonts w:eastAsia="Calibri"/>
          <w:lang w:val="fr-FR"/>
        </w:rPr>
        <w:t xml:space="preserve">l’étendue du patriarcat, </w:t>
      </w:r>
      <w:r w:rsidR="006C4F93">
        <w:rPr>
          <w:rFonts w:eastAsia="Calibri"/>
          <w:lang w:val="fr-FR"/>
        </w:rPr>
        <w:t xml:space="preserve">de la misogynie et </w:t>
      </w:r>
      <w:r w:rsidRPr="006F0F1B">
        <w:rPr>
          <w:rFonts w:eastAsia="Calibri"/>
          <w:lang w:val="fr-FR"/>
        </w:rPr>
        <w:t xml:space="preserve">des pratiques préjudiciables aux femmes et </w:t>
      </w:r>
      <w:r w:rsidR="002C28F2">
        <w:rPr>
          <w:rFonts w:eastAsia="Calibri"/>
          <w:lang w:val="fr-FR"/>
        </w:rPr>
        <w:t xml:space="preserve">aux </w:t>
      </w:r>
      <w:r w:rsidRPr="006F0F1B">
        <w:rPr>
          <w:rFonts w:eastAsia="Calibri"/>
          <w:lang w:val="fr-FR"/>
        </w:rPr>
        <w:t>filles.</w:t>
      </w:r>
    </w:p>
    <w:p w:rsidR="006879D2" w:rsidRPr="006F0F1B" w:rsidRDefault="006879D2" w:rsidP="00A27B94">
      <w:pPr>
        <w:pStyle w:val="SingleTxtG"/>
        <w:numPr>
          <w:ilvl w:val="0"/>
          <w:numId w:val="33"/>
        </w:numPr>
        <w:ind w:left="1134" w:firstLine="0"/>
        <w:rPr>
          <w:rFonts w:eastAsia="Calibri"/>
          <w:lang w:val="fr-FR"/>
        </w:rPr>
      </w:pPr>
      <w:r w:rsidRPr="006F0F1B">
        <w:rPr>
          <w:rFonts w:eastAsia="Calibri"/>
          <w:lang w:val="fr-FR"/>
        </w:rPr>
        <w:t>La culture entendue comme macroconcept comprend aussi la religion. La religion constitue un aspect institutionnalisé de la culture, avec ses propres sources d</w:t>
      </w:r>
      <w:r w:rsidR="00272691">
        <w:rPr>
          <w:rFonts w:eastAsia="Calibri"/>
          <w:lang w:val="fr-FR"/>
        </w:rPr>
        <w:t>’</w:t>
      </w:r>
      <w:r w:rsidRPr="006F0F1B">
        <w:rPr>
          <w:rFonts w:eastAsia="Calibri"/>
          <w:lang w:val="fr-FR"/>
        </w:rPr>
        <w:t xml:space="preserve">autorité pour réglementer le comportement social. </w:t>
      </w:r>
      <w:r w:rsidR="00C1236E">
        <w:rPr>
          <w:rFonts w:eastAsia="Calibri"/>
          <w:lang w:val="fr-FR"/>
        </w:rPr>
        <w:t xml:space="preserve">Elle </w:t>
      </w:r>
      <w:r w:rsidRPr="006F0F1B">
        <w:rPr>
          <w:rFonts w:eastAsia="Calibri"/>
          <w:lang w:val="fr-FR"/>
        </w:rPr>
        <w:t>est souvent basée sur le concept de l</w:t>
      </w:r>
      <w:r w:rsidR="00272691">
        <w:rPr>
          <w:rFonts w:eastAsia="Calibri"/>
          <w:lang w:val="fr-FR"/>
        </w:rPr>
        <w:t>’</w:t>
      </w:r>
      <w:r w:rsidRPr="006F0F1B">
        <w:rPr>
          <w:rFonts w:eastAsia="Calibri"/>
          <w:lang w:val="fr-FR"/>
        </w:rPr>
        <w:t xml:space="preserve">autorité transcendante et la plupart des religions ont codifié des systèmes </w:t>
      </w:r>
      <w:r w:rsidR="00E11017" w:rsidRPr="006F0F1B">
        <w:rPr>
          <w:rFonts w:eastAsia="Calibri"/>
          <w:lang w:val="fr-FR"/>
        </w:rPr>
        <w:t>normatifs</w:t>
      </w:r>
      <w:r w:rsidRPr="006F0F1B">
        <w:rPr>
          <w:rFonts w:eastAsia="Calibri"/>
          <w:lang w:val="fr-FR"/>
        </w:rPr>
        <w:t xml:space="preserve">. </w:t>
      </w:r>
      <w:r w:rsidR="00F144C9" w:rsidRPr="006F0F1B">
        <w:rPr>
          <w:rFonts w:eastAsia="Calibri"/>
          <w:lang w:val="fr-FR"/>
        </w:rPr>
        <w:t>L</w:t>
      </w:r>
      <w:r w:rsidRPr="006F0F1B">
        <w:rPr>
          <w:rFonts w:eastAsia="Calibri"/>
          <w:lang w:val="fr-FR"/>
        </w:rPr>
        <w:t>e changement doit être opéré au sein de la hiérarchie religieuse de la communauté et doit être en conformité avec</w:t>
      </w:r>
      <w:r w:rsidRPr="00ED069E">
        <w:rPr>
          <w:rFonts w:eastAsia="Calibri"/>
          <w:lang w:val="fr-FR"/>
        </w:rPr>
        <w:t xml:space="preserve"> les dogmes religieux des sources écrites. Par conséquent, les religions sont</w:t>
      </w:r>
      <w:r w:rsidR="005B0E15">
        <w:rPr>
          <w:rFonts w:eastAsia="Calibri"/>
          <w:lang w:val="fr-FR"/>
        </w:rPr>
        <w:t xml:space="preserve"> </w:t>
      </w:r>
      <w:r w:rsidRPr="00ED069E">
        <w:rPr>
          <w:rFonts w:eastAsia="Calibri"/>
          <w:lang w:val="fr-FR"/>
        </w:rPr>
        <w:t xml:space="preserve">souvent un refuge contre le changement social et culturel. </w:t>
      </w:r>
      <w:r w:rsidRPr="006F0F1B">
        <w:rPr>
          <w:rFonts w:eastAsia="Calibri"/>
          <w:lang w:val="fr-FR"/>
        </w:rPr>
        <w:t>Dans toutes les religions, il existe des mouvements qui résistent à tout changement concernant le patriarcat et le statut des femmes et des filles dans la famille</w:t>
      </w:r>
      <w:r w:rsidRPr="006F0F1B">
        <w:rPr>
          <w:rStyle w:val="FootnoteReference"/>
          <w:rFonts w:eastAsia="Calibri"/>
          <w:lang w:val="fr-FR"/>
        </w:rPr>
        <w:footnoteReference w:id="9"/>
      </w:r>
      <w:r w:rsidRPr="006F0F1B">
        <w:rPr>
          <w:rFonts w:eastAsia="Calibri"/>
          <w:lang w:val="fr-FR"/>
        </w:rPr>
        <w:t xml:space="preserve">. </w:t>
      </w:r>
      <w:r w:rsidR="00C1236E">
        <w:rPr>
          <w:rFonts w:eastAsia="Calibri"/>
          <w:lang w:val="fr-FR"/>
        </w:rPr>
        <w:t>À l’inverse</w:t>
      </w:r>
      <w:r w:rsidRPr="006F0F1B">
        <w:rPr>
          <w:rFonts w:eastAsia="Calibri"/>
          <w:lang w:val="fr-FR"/>
        </w:rPr>
        <w:t xml:space="preserve">, des pratiques discriminatoires non fondées sur le genre, y compris </w:t>
      </w:r>
      <w:r w:rsidRPr="00DA64F5">
        <w:rPr>
          <w:rFonts w:eastAsia="Calibri"/>
          <w:lang w:val="fr-FR"/>
        </w:rPr>
        <w:t>certaines défendues au nom de la culture et de la religion, comme l’esclavage, ont été délégitimées</w:t>
      </w:r>
      <w:r w:rsidRPr="00E32163">
        <w:rPr>
          <w:rFonts w:eastAsia="Calibri"/>
          <w:lang w:val="fr-FR"/>
        </w:rPr>
        <w:t xml:space="preserve"> ou abandonnées avec l’évolution des valeurs et de l</w:t>
      </w:r>
      <w:r w:rsidR="00272691" w:rsidRPr="00E32163">
        <w:rPr>
          <w:rFonts w:eastAsia="Calibri"/>
          <w:lang w:val="fr-FR"/>
        </w:rPr>
        <w:t>’</w:t>
      </w:r>
      <w:r w:rsidRPr="0016746E">
        <w:rPr>
          <w:rFonts w:eastAsia="Calibri"/>
          <w:lang w:val="fr-FR"/>
        </w:rPr>
        <w:t>éthique</w:t>
      </w:r>
      <w:r w:rsidRPr="0016746E">
        <w:rPr>
          <w:rStyle w:val="FootnoteReference"/>
          <w:rFonts w:eastAsia="Calibri"/>
          <w:lang w:val="fr-FR"/>
        </w:rPr>
        <w:footnoteReference w:id="10"/>
      </w:r>
      <w:r w:rsidRPr="00E73028">
        <w:rPr>
          <w:rFonts w:eastAsia="Calibri"/>
          <w:lang w:val="fr-FR"/>
        </w:rPr>
        <w:t>.</w:t>
      </w:r>
      <w:r w:rsidRPr="006F0F1B">
        <w:rPr>
          <w:rFonts w:eastAsia="Calibri"/>
          <w:lang w:val="fr-FR"/>
        </w:rPr>
        <w:t xml:space="preserve"> </w:t>
      </w:r>
    </w:p>
    <w:p w:rsidR="006879D2" w:rsidRPr="006F0F1B" w:rsidRDefault="006879D2" w:rsidP="00A27B94">
      <w:pPr>
        <w:pStyle w:val="SingleTxtG"/>
        <w:numPr>
          <w:ilvl w:val="0"/>
          <w:numId w:val="33"/>
        </w:numPr>
        <w:ind w:left="1134" w:firstLine="0"/>
        <w:rPr>
          <w:rFonts w:eastAsia="Calibri"/>
          <w:lang w:val="fr-FR"/>
        </w:rPr>
      </w:pPr>
      <w:r w:rsidRPr="006F0F1B">
        <w:rPr>
          <w:rFonts w:eastAsia="Calibri"/>
          <w:color w:val="000000"/>
          <w:lang w:val="fr-FR"/>
        </w:rPr>
        <w:t xml:space="preserve">Le </w:t>
      </w:r>
      <w:r w:rsidR="00736F92">
        <w:rPr>
          <w:rFonts w:eastAsia="Calibri"/>
          <w:color w:val="000000"/>
          <w:lang w:val="fr-FR"/>
        </w:rPr>
        <w:t>Groupe de travail</w:t>
      </w:r>
      <w:r w:rsidRPr="006F0F1B">
        <w:rPr>
          <w:rFonts w:eastAsia="Calibri"/>
          <w:color w:val="000000"/>
          <w:lang w:val="fr-FR"/>
        </w:rPr>
        <w:t xml:space="preserve"> note l’importance fondamentale de l</w:t>
      </w:r>
      <w:r w:rsidRPr="006F0F1B">
        <w:rPr>
          <w:rFonts w:eastAsia="Calibri"/>
          <w:lang w:val="fr-FR"/>
        </w:rPr>
        <w:t>’</w:t>
      </w:r>
      <w:r w:rsidR="00272691">
        <w:rPr>
          <w:rFonts w:eastAsia="Calibri"/>
          <w:lang w:val="fr-FR"/>
        </w:rPr>
        <w:t>article </w:t>
      </w:r>
      <w:r w:rsidRPr="006F0F1B">
        <w:rPr>
          <w:rFonts w:eastAsia="Calibri"/>
          <w:lang w:val="fr-FR"/>
        </w:rPr>
        <w:t xml:space="preserve">5 de la Convention </w:t>
      </w:r>
      <w:r w:rsidR="00F45127">
        <w:rPr>
          <w:rFonts w:eastAsia="Calibri"/>
          <w:lang w:val="fr-FR"/>
        </w:rPr>
        <w:t xml:space="preserve">sur l’élimination de toutes les formes de discrimination à l’égard des femmes </w:t>
      </w:r>
      <w:r w:rsidRPr="006F0F1B">
        <w:rPr>
          <w:rFonts w:eastAsia="Calibri"/>
          <w:lang w:val="fr-FR"/>
        </w:rPr>
        <w:t xml:space="preserve">obligeant les </w:t>
      </w:r>
      <w:r w:rsidR="00F95103" w:rsidRPr="00ED069E">
        <w:rPr>
          <w:rFonts w:eastAsia="Calibri"/>
          <w:lang w:val="fr-FR"/>
        </w:rPr>
        <w:t>États</w:t>
      </w:r>
      <w:r w:rsidRPr="006F0F1B">
        <w:rPr>
          <w:rFonts w:eastAsia="Calibri"/>
          <w:lang w:val="fr-FR"/>
        </w:rPr>
        <w:t xml:space="preserve"> à modifier </w:t>
      </w:r>
      <w:r w:rsidRPr="00DA64F5">
        <w:rPr>
          <w:rFonts w:eastAsia="Calibri"/>
          <w:lang w:val="fr-FR"/>
        </w:rPr>
        <w:t xml:space="preserve">les </w:t>
      </w:r>
      <w:r w:rsidR="00C1236E" w:rsidRPr="00DA64F5">
        <w:rPr>
          <w:rFonts w:eastAsia="Calibri"/>
          <w:lang w:val="fr-FR"/>
        </w:rPr>
        <w:t xml:space="preserve">modèles de </w:t>
      </w:r>
      <w:r w:rsidRPr="00DA64F5">
        <w:rPr>
          <w:rFonts w:eastAsia="Calibri"/>
          <w:lang w:val="fr-FR"/>
        </w:rPr>
        <w:t>comportement soci</w:t>
      </w:r>
      <w:r w:rsidR="00C1236E" w:rsidRPr="00DA64F5">
        <w:rPr>
          <w:rFonts w:eastAsia="Calibri"/>
          <w:lang w:val="fr-FR"/>
        </w:rPr>
        <w:t>o</w:t>
      </w:r>
      <w:r w:rsidRPr="00E32163">
        <w:rPr>
          <w:rFonts w:eastAsia="Calibri"/>
          <w:lang w:val="fr-FR"/>
        </w:rPr>
        <w:t>culturel</w:t>
      </w:r>
      <w:r w:rsidRPr="0016746E">
        <w:rPr>
          <w:rFonts w:eastAsia="Calibri"/>
          <w:lang w:val="fr-FR"/>
        </w:rPr>
        <w:t xml:space="preserve"> de</w:t>
      </w:r>
      <w:r w:rsidR="00C1236E" w:rsidRPr="00E73028">
        <w:rPr>
          <w:rFonts w:eastAsia="Calibri"/>
          <w:lang w:val="fr-FR"/>
        </w:rPr>
        <w:t xml:space="preserve"> l’</w:t>
      </w:r>
      <w:r w:rsidRPr="00E73028">
        <w:rPr>
          <w:rFonts w:eastAsia="Calibri"/>
          <w:lang w:val="fr-FR"/>
        </w:rPr>
        <w:t>homme</w:t>
      </w:r>
      <w:r w:rsidRPr="00CD2281">
        <w:rPr>
          <w:rFonts w:eastAsia="Calibri"/>
          <w:lang w:val="fr-FR"/>
        </w:rPr>
        <w:t xml:space="preserve"> et de</w:t>
      </w:r>
      <w:r w:rsidR="00C1236E" w:rsidRPr="00CD2281">
        <w:rPr>
          <w:rFonts w:eastAsia="Calibri"/>
          <w:lang w:val="fr-FR"/>
        </w:rPr>
        <w:t xml:space="preserve"> la</w:t>
      </w:r>
      <w:r w:rsidRPr="00CD2281">
        <w:rPr>
          <w:rFonts w:eastAsia="Calibri"/>
          <w:lang w:val="fr-FR"/>
        </w:rPr>
        <w:t xml:space="preserve"> femme en vue de parvenir à l</w:t>
      </w:r>
      <w:r w:rsidR="00272691" w:rsidRPr="00CD2281">
        <w:rPr>
          <w:rFonts w:eastAsia="Calibri"/>
          <w:lang w:val="fr-FR"/>
        </w:rPr>
        <w:t>’</w:t>
      </w:r>
      <w:r w:rsidRPr="00CD2281">
        <w:rPr>
          <w:rFonts w:eastAsia="Calibri"/>
          <w:lang w:val="fr-FR"/>
        </w:rPr>
        <w:t xml:space="preserve">élimination des préjugés et des </w:t>
      </w:r>
      <w:r w:rsidR="00C1236E" w:rsidRPr="00CD2281">
        <w:rPr>
          <w:rFonts w:eastAsia="Calibri"/>
          <w:lang w:val="fr-FR"/>
        </w:rPr>
        <w:t xml:space="preserve">pratiques </w:t>
      </w:r>
      <w:r w:rsidRPr="00CD2281">
        <w:rPr>
          <w:rFonts w:eastAsia="Calibri"/>
          <w:lang w:val="fr-FR"/>
        </w:rPr>
        <w:t>coutum</w:t>
      </w:r>
      <w:r w:rsidR="00C1236E" w:rsidRPr="00CD2281">
        <w:rPr>
          <w:rFonts w:eastAsia="Calibri"/>
          <w:lang w:val="fr-FR"/>
        </w:rPr>
        <w:t>ière</w:t>
      </w:r>
      <w:r w:rsidRPr="00CD2281">
        <w:rPr>
          <w:rFonts w:eastAsia="Calibri"/>
          <w:lang w:val="fr-FR"/>
        </w:rPr>
        <w:t>s qui sont fondés sur l</w:t>
      </w:r>
      <w:r w:rsidR="00272691" w:rsidRPr="00CD2281">
        <w:rPr>
          <w:rFonts w:eastAsia="Calibri"/>
          <w:lang w:val="fr-FR"/>
        </w:rPr>
        <w:t>’</w:t>
      </w:r>
      <w:r w:rsidRPr="00CD2281">
        <w:rPr>
          <w:rFonts w:eastAsia="Calibri"/>
          <w:lang w:val="fr-FR"/>
        </w:rPr>
        <w:t>idée de l</w:t>
      </w:r>
      <w:r w:rsidR="00BC7BEE" w:rsidRPr="00CD2281">
        <w:rPr>
          <w:rFonts w:eastAsia="Calibri"/>
          <w:lang w:val="fr-FR"/>
        </w:rPr>
        <w:t>’</w:t>
      </w:r>
      <w:r w:rsidRPr="00CD2281">
        <w:rPr>
          <w:rFonts w:eastAsia="Calibri"/>
          <w:lang w:val="fr-FR"/>
        </w:rPr>
        <w:t>infériorité ou de la supériorité de l</w:t>
      </w:r>
      <w:r w:rsidR="00BC7BEE" w:rsidRPr="00CD2281">
        <w:rPr>
          <w:rFonts w:eastAsia="Calibri"/>
          <w:lang w:val="fr-FR"/>
        </w:rPr>
        <w:t>’</w:t>
      </w:r>
      <w:r w:rsidRPr="00CD2281">
        <w:rPr>
          <w:rFonts w:eastAsia="Calibri"/>
          <w:lang w:val="fr-FR"/>
        </w:rPr>
        <w:t xml:space="preserve">un </w:t>
      </w:r>
      <w:r w:rsidR="00C1236E" w:rsidRPr="00CD2281">
        <w:rPr>
          <w:rFonts w:eastAsia="Calibri"/>
          <w:lang w:val="fr-FR"/>
        </w:rPr>
        <w:t xml:space="preserve">ou l’autre </w:t>
      </w:r>
      <w:r w:rsidRPr="00CD2281">
        <w:rPr>
          <w:rFonts w:eastAsia="Calibri"/>
          <w:lang w:val="fr-FR"/>
        </w:rPr>
        <w:t xml:space="preserve">sexe ou </w:t>
      </w:r>
      <w:r w:rsidR="00C1236E" w:rsidRPr="00CD2281">
        <w:rPr>
          <w:rFonts w:eastAsia="Calibri"/>
          <w:lang w:val="fr-FR"/>
        </w:rPr>
        <w:t xml:space="preserve">d’un </w:t>
      </w:r>
      <w:r w:rsidRPr="00CD2281">
        <w:rPr>
          <w:rFonts w:eastAsia="Calibri"/>
          <w:lang w:val="fr-FR"/>
        </w:rPr>
        <w:t xml:space="preserve">rôle stéréotypé </w:t>
      </w:r>
      <w:r w:rsidR="00C1236E" w:rsidRPr="00CD2281">
        <w:rPr>
          <w:rFonts w:eastAsia="Calibri"/>
          <w:lang w:val="fr-FR"/>
        </w:rPr>
        <w:t>d</w:t>
      </w:r>
      <w:r w:rsidRPr="00CD2281">
        <w:rPr>
          <w:rFonts w:eastAsia="Calibri"/>
          <w:lang w:val="fr-FR"/>
        </w:rPr>
        <w:t xml:space="preserve">es hommes et </w:t>
      </w:r>
      <w:r w:rsidR="00C1236E" w:rsidRPr="00CD2281">
        <w:rPr>
          <w:rFonts w:eastAsia="Calibri"/>
          <w:lang w:val="fr-FR"/>
        </w:rPr>
        <w:t>d</w:t>
      </w:r>
      <w:r w:rsidRPr="00CD2281">
        <w:rPr>
          <w:rFonts w:eastAsia="Calibri"/>
          <w:lang w:val="fr-FR"/>
        </w:rPr>
        <w:t>es femmes.</w:t>
      </w:r>
      <w:r w:rsidRPr="006F0F1B">
        <w:rPr>
          <w:rFonts w:eastAsia="Calibri"/>
          <w:lang w:val="fr-FR"/>
        </w:rPr>
        <w:t xml:space="preserve"> Cette disposition prévoit une base normative pour la primauté du droit à l</w:t>
      </w:r>
      <w:r w:rsidR="00BC7BEE">
        <w:rPr>
          <w:rFonts w:eastAsia="Calibri"/>
          <w:lang w:val="fr-FR"/>
        </w:rPr>
        <w:t>’</w:t>
      </w:r>
      <w:r w:rsidRPr="006F0F1B">
        <w:rPr>
          <w:rFonts w:eastAsia="Calibri"/>
          <w:lang w:val="fr-FR"/>
        </w:rPr>
        <w:t>égalité des femmes sur les modèles culturels de conduite discriminatoires, y</w:t>
      </w:r>
      <w:r w:rsidR="00C1236E">
        <w:rPr>
          <w:rFonts w:eastAsia="Calibri"/>
          <w:lang w:val="fr-FR"/>
        </w:rPr>
        <w:t> </w:t>
      </w:r>
      <w:r w:rsidRPr="006F0F1B">
        <w:rPr>
          <w:rFonts w:eastAsia="Calibri"/>
          <w:lang w:val="fr-FR"/>
        </w:rPr>
        <w:t>compris sur ceux issus d’édits religieux.</w:t>
      </w:r>
    </w:p>
    <w:p w:rsidR="006879D2" w:rsidRPr="006F0F1B" w:rsidRDefault="006879D2" w:rsidP="000529DC">
      <w:pPr>
        <w:pStyle w:val="SingleTxtG"/>
        <w:numPr>
          <w:ilvl w:val="0"/>
          <w:numId w:val="33"/>
        </w:numPr>
        <w:ind w:left="1134" w:firstLine="0"/>
        <w:rPr>
          <w:rFonts w:eastAsia="Calibri"/>
          <w:lang w:val="fr-FR"/>
        </w:rPr>
      </w:pPr>
      <w:r w:rsidRPr="006F0F1B">
        <w:rPr>
          <w:rFonts w:eastAsia="Calibri"/>
          <w:lang w:val="fr-FR"/>
        </w:rPr>
        <w:t xml:space="preserve">La culture et la religion sont souvent utilisées comme argument pour justifier les discriminations et les pratiques violentes </w:t>
      </w:r>
      <w:r w:rsidR="000529DC">
        <w:rPr>
          <w:rFonts w:eastAsia="Calibri"/>
          <w:lang w:val="fr-FR"/>
        </w:rPr>
        <w:t>à l’égard d</w:t>
      </w:r>
      <w:r w:rsidRPr="006F0F1B">
        <w:rPr>
          <w:rFonts w:eastAsia="Calibri"/>
          <w:lang w:val="fr-FR"/>
        </w:rPr>
        <w:t xml:space="preserve">es femmes et </w:t>
      </w:r>
      <w:r w:rsidR="000529DC">
        <w:rPr>
          <w:rFonts w:eastAsia="Calibri"/>
          <w:lang w:val="fr-FR"/>
        </w:rPr>
        <w:t>d</w:t>
      </w:r>
      <w:r w:rsidRPr="006F0F1B">
        <w:rPr>
          <w:rFonts w:eastAsia="Calibri"/>
          <w:lang w:val="fr-FR"/>
        </w:rPr>
        <w:t xml:space="preserve">es filles. Les femmes ont souvent été considérées comme des objets et non comme des participantes égales aux hommes dans la formulation ou la manifestation de principes culturels. De fait, lorsque la culture et la religion sont utilisées </w:t>
      </w:r>
      <w:r w:rsidR="00FA4F34">
        <w:rPr>
          <w:rFonts w:eastAsia="Calibri"/>
          <w:lang w:val="fr-FR"/>
        </w:rPr>
        <w:t>pour justifier</w:t>
      </w:r>
      <w:r w:rsidRPr="00A40366">
        <w:rPr>
          <w:rFonts w:eastAsia="Calibri"/>
          <w:lang w:val="fr-FR"/>
        </w:rPr>
        <w:t xml:space="preserve"> différentes</w:t>
      </w:r>
      <w:r w:rsidRPr="006F0F1B">
        <w:rPr>
          <w:rFonts w:eastAsia="Calibri"/>
          <w:lang w:val="fr-FR"/>
        </w:rPr>
        <w:t xml:space="preserve"> discriminations </w:t>
      </w:r>
      <w:r w:rsidR="000529DC">
        <w:rPr>
          <w:rFonts w:eastAsia="Calibri"/>
          <w:lang w:val="fr-FR"/>
        </w:rPr>
        <w:t>à l’égard d</w:t>
      </w:r>
      <w:r w:rsidRPr="006F0F1B">
        <w:rPr>
          <w:rFonts w:eastAsia="Calibri"/>
          <w:lang w:val="fr-FR"/>
        </w:rPr>
        <w:t>es femmes, ces dernières apparaissent</w:t>
      </w:r>
      <w:r w:rsidR="00A27B94">
        <w:rPr>
          <w:rFonts w:eastAsia="Calibri"/>
          <w:lang w:val="fr-FR"/>
        </w:rPr>
        <w:t xml:space="preserve"> non pas comme des victimes ou des survivantes </w:t>
      </w:r>
      <w:r w:rsidR="00A40366">
        <w:rPr>
          <w:rFonts w:eastAsia="Calibri"/>
          <w:lang w:val="fr-FR"/>
        </w:rPr>
        <w:t xml:space="preserve">de la discrimination </w:t>
      </w:r>
      <w:r w:rsidR="00A27B94">
        <w:rPr>
          <w:rFonts w:eastAsia="Calibri"/>
          <w:lang w:val="fr-FR"/>
        </w:rPr>
        <w:t xml:space="preserve">mais </w:t>
      </w:r>
      <w:r w:rsidRPr="006F0F1B">
        <w:rPr>
          <w:rFonts w:eastAsia="Calibri"/>
          <w:lang w:val="fr-FR"/>
        </w:rPr>
        <w:t xml:space="preserve">comme </w:t>
      </w:r>
      <w:r w:rsidR="00A27B94">
        <w:rPr>
          <w:rFonts w:eastAsia="Calibri"/>
          <w:lang w:val="fr-FR"/>
        </w:rPr>
        <w:t xml:space="preserve">des personnes </w:t>
      </w:r>
      <w:r w:rsidRPr="006F0F1B">
        <w:rPr>
          <w:rFonts w:eastAsia="Calibri"/>
          <w:lang w:val="fr-FR"/>
        </w:rPr>
        <w:t xml:space="preserve">«enfreignant» les règles et </w:t>
      </w:r>
      <w:r w:rsidR="00A27B94">
        <w:rPr>
          <w:rFonts w:eastAsia="Calibri"/>
          <w:lang w:val="fr-FR"/>
        </w:rPr>
        <w:t xml:space="preserve">les </w:t>
      </w:r>
      <w:r w:rsidRPr="006F0F1B">
        <w:rPr>
          <w:rFonts w:eastAsia="Calibri"/>
          <w:lang w:val="fr-FR"/>
        </w:rPr>
        <w:t xml:space="preserve">normes </w:t>
      </w:r>
      <w:r w:rsidRPr="00DA64F5">
        <w:rPr>
          <w:rFonts w:eastAsia="Calibri"/>
          <w:lang w:val="fr-FR"/>
        </w:rPr>
        <w:t>culturelles</w:t>
      </w:r>
      <w:r w:rsidRPr="00DA64F5">
        <w:rPr>
          <w:rStyle w:val="FootnoteReference"/>
          <w:rFonts w:eastAsia="Calibri"/>
          <w:lang w:val="fr-FR"/>
        </w:rPr>
        <w:footnoteReference w:id="11"/>
      </w:r>
      <w:r w:rsidRPr="00DA64F5">
        <w:rPr>
          <w:rFonts w:eastAsia="Calibri"/>
          <w:lang w:val="fr-FR"/>
        </w:rPr>
        <w:t>.</w:t>
      </w:r>
      <w:r w:rsidRPr="006F0F1B">
        <w:rPr>
          <w:rFonts w:eastAsia="Calibri"/>
          <w:lang w:val="fr-FR"/>
        </w:rPr>
        <w:t xml:space="preserve"> </w:t>
      </w:r>
    </w:p>
    <w:p w:rsidR="006879D2" w:rsidRPr="006F0F1B" w:rsidRDefault="006879D2" w:rsidP="000529DC">
      <w:pPr>
        <w:pStyle w:val="SingleTxtG"/>
        <w:numPr>
          <w:ilvl w:val="0"/>
          <w:numId w:val="33"/>
        </w:numPr>
        <w:ind w:left="1134" w:firstLine="0"/>
        <w:rPr>
          <w:rFonts w:eastAsia="Calibri"/>
          <w:lang w:val="fr-FR"/>
        </w:rPr>
      </w:pPr>
      <w:r w:rsidRPr="006F0F1B">
        <w:rPr>
          <w:rFonts w:eastAsia="Calibri"/>
          <w:lang w:val="fr-FR"/>
        </w:rPr>
        <w:t xml:space="preserve">Plusieurs experts </w:t>
      </w:r>
      <w:r w:rsidR="00D227A1">
        <w:rPr>
          <w:rFonts w:eastAsia="Calibri"/>
          <w:lang w:val="fr-FR"/>
        </w:rPr>
        <w:t xml:space="preserve">des Nations Unies en matière </w:t>
      </w:r>
      <w:r w:rsidRPr="006F0F1B">
        <w:rPr>
          <w:rFonts w:eastAsia="Calibri"/>
          <w:lang w:val="fr-FR"/>
        </w:rPr>
        <w:t xml:space="preserve">de droits de l’homme, </w:t>
      </w:r>
      <w:r w:rsidR="00D227A1">
        <w:rPr>
          <w:rFonts w:eastAsia="Calibri"/>
          <w:lang w:val="fr-FR"/>
        </w:rPr>
        <w:t xml:space="preserve">des titulaires de mandat au titre </w:t>
      </w:r>
      <w:r w:rsidRPr="006F0F1B">
        <w:rPr>
          <w:rFonts w:eastAsia="Calibri"/>
          <w:lang w:val="fr-FR"/>
        </w:rPr>
        <w:t xml:space="preserve">des </w:t>
      </w:r>
      <w:r w:rsidR="00D227A1" w:rsidRPr="00273ABE">
        <w:rPr>
          <w:rFonts w:eastAsia="Calibri"/>
          <w:lang w:val="fr-FR"/>
        </w:rPr>
        <w:t>p</w:t>
      </w:r>
      <w:r w:rsidRPr="00A27B94">
        <w:rPr>
          <w:rFonts w:eastAsia="Calibri"/>
          <w:lang w:val="fr-FR"/>
        </w:rPr>
        <w:t xml:space="preserve">rocédures </w:t>
      </w:r>
      <w:r w:rsidR="00F45127" w:rsidRPr="00A27B94">
        <w:rPr>
          <w:rFonts w:eastAsia="Calibri"/>
          <w:lang w:val="fr-FR"/>
        </w:rPr>
        <w:t>s</w:t>
      </w:r>
      <w:r w:rsidRPr="00A27B94">
        <w:rPr>
          <w:rFonts w:eastAsia="Calibri"/>
          <w:lang w:val="fr-FR"/>
        </w:rPr>
        <w:t>péciales</w:t>
      </w:r>
      <w:r w:rsidRPr="006F0F1B">
        <w:rPr>
          <w:rStyle w:val="FootnoteReference"/>
          <w:rFonts w:eastAsia="Calibri"/>
          <w:lang w:val="fr-FR"/>
        </w:rPr>
        <w:footnoteReference w:id="12"/>
      </w:r>
      <w:r w:rsidRPr="006F0F1B">
        <w:rPr>
          <w:rFonts w:eastAsia="Calibri"/>
          <w:lang w:val="fr-FR"/>
        </w:rPr>
        <w:t xml:space="preserve">, des organes </w:t>
      </w:r>
      <w:r w:rsidR="00D227A1">
        <w:rPr>
          <w:rFonts w:eastAsia="Calibri"/>
          <w:lang w:val="fr-FR"/>
        </w:rPr>
        <w:t>conventionnels</w:t>
      </w:r>
      <w:r w:rsidRPr="006F0F1B">
        <w:rPr>
          <w:rStyle w:val="FootnoteReference"/>
          <w:rFonts w:eastAsia="Calibri"/>
          <w:lang w:val="fr-FR"/>
        </w:rPr>
        <w:footnoteReference w:id="13"/>
      </w:r>
      <w:r w:rsidRPr="006F0F1B">
        <w:rPr>
          <w:rFonts w:eastAsia="Calibri"/>
          <w:lang w:val="fr-FR"/>
        </w:rPr>
        <w:t xml:space="preserve"> et </w:t>
      </w:r>
      <w:r w:rsidR="00D227A1" w:rsidRPr="00F86312">
        <w:rPr>
          <w:rFonts w:eastAsia="Calibri"/>
          <w:lang w:val="fr-FR"/>
        </w:rPr>
        <w:t>le</w:t>
      </w:r>
      <w:r w:rsidRPr="00F86312">
        <w:rPr>
          <w:rFonts w:eastAsia="Calibri"/>
          <w:lang w:val="fr-FR"/>
        </w:rPr>
        <w:t xml:space="preserve"> Secrétaire </w:t>
      </w:r>
      <w:r w:rsidR="00D227A1" w:rsidRPr="00F86312">
        <w:rPr>
          <w:rFonts w:eastAsia="Calibri"/>
          <w:lang w:val="fr-FR"/>
        </w:rPr>
        <w:t>g</w:t>
      </w:r>
      <w:r w:rsidRPr="00F86312">
        <w:rPr>
          <w:rFonts w:eastAsia="Calibri"/>
          <w:lang w:val="fr-FR"/>
        </w:rPr>
        <w:t>énéral</w:t>
      </w:r>
      <w:r w:rsidR="00D227A1">
        <w:rPr>
          <w:rFonts w:eastAsia="Calibri"/>
          <w:lang w:val="fr-FR"/>
        </w:rPr>
        <w:t xml:space="preserve"> de l’ONU</w:t>
      </w:r>
      <w:r w:rsidRPr="006F0F1B">
        <w:rPr>
          <w:rFonts w:eastAsia="Calibri"/>
          <w:lang w:val="fr-FR"/>
        </w:rPr>
        <w:t xml:space="preserve"> ont établi que ni la diversité culturelle, ni la liberté de religion ne peuvent justifier la discrimination contre les femmes. </w:t>
      </w:r>
      <w:r w:rsidRPr="00ED069E">
        <w:rPr>
          <w:rFonts w:eastAsia="Calibri"/>
          <w:lang w:val="fr-FR"/>
        </w:rPr>
        <w:t xml:space="preserve">Les pratiques discriminatoires, répressives et violentes </w:t>
      </w:r>
      <w:r w:rsidR="000529DC">
        <w:rPr>
          <w:rFonts w:eastAsia="Calibri"/>
          <w:lang w:val="fr-FR"/>
        </w:rPr>
        <w:t>à l’égard d</w:t>
      </w:r>
      <w:r w:rsidRPr="00ED069E">
        <w:rPr>
          <w:rFonts w:eastAsia="Calibri"/>
          <w:lang w:val="fr-FR"/>
        </w:rPr>
        <w:t>es femmes devraient être supprimées, quelles que soient leurs origines, y compris culturelles et religieuses</w:t>
      </w:r>
      <w:r w:rsidRPr="006F0F1B">
        <w:rPr>
          <w:rStyle w:val="FootnoteReference"/>
          <w:rFonts w:eastAsia="Calibri"/>
          <w:lang w:val="fr-FR"/>
        </w:rPr>
        <w:footnoteReference w:id="14"/>
      </w:r>
      <w:r w:rsidRPr="00ED069E">
        <w:rPr>
          <w:rFonts w:eastAsia="Calibri"/>
          <w:lang w:val="fr-FR"/>
        </w:rPr>
        <w:t xml:space="preserve">. </w:t>
      </w:r>
      <w:r w:rsidRPr="006F0F1B">
        <w:rPr>
          <w:rFonts w:eastAsia="Calibri"/>
          <w:lang w:val="fr-FR"/>
        </w:rPr>
        <w:t xml:space="preserve">Le Groupe </w:t>
      </w:r>
      <w:r w:rsidR="00736F92">
        <w:rPr>
          <w:rFonts w:eastAsia="Calibri"/>
          <w:lang w:val="fr-FR"/>
        </w:rPr>
        <w:t xml:space="preserve">de travail </w:t>
      </w:r>
      <w:r w:rsidRPr="006F0F1B">
        <w:rPr>
          <w:rFonts w:eastAsia="Calibri"/>
          <w:lang w:val="fr-FR"/>
        </w:rPr>
        <w:t>est convaincu que cette opinion est un élément crucial dans le processus de réalisation des droits des femmes à l</w:t>
      </w:r>
      <w:r w:rsidR="00BC7BEE">
        <w:rPr>
          <w:rFonts w:eastAsia="Calibri"/>
          <w:lang w:val="fr-FR"/>
        </w:rPr>
        <w:t>’</w:t>
      </w:r>
      <w:r w:rsidRPr="006F0F1B">
        <w:rPr>
          <w:rFonts w:eastAsia="Calibri"/>
          <w:lang w:val="fr-FR"/>
        </w:rPr>
        <w:t xml:space="preserve">égalité dans toutes les sphères de la vie. </w:t>
      </w:r>
    </w:p>
    <w:p w:rsidR="006879D2" w:rsidRPr="006F0F1B" w:rsidRDefault="006879D2" w:rsidP="00FA4F34">
      <w:pPr>
        <w:pStyle w:val="SingleTxtG"/>
        <w:numPr>
          <w:ilvl w:val="0"/>
          <w:numId w:val="33"/>
        </w:numPr>
        <w:ind w:left="1134" w:firstLine="0"/>
        <w:rPr>
          <w:rFonts w:eastAsia="Calibri"/>
          <w:lang w:val="fr-FR"/>
        </w:rPr>
      </w:pPr>
      <w:r w:rsidRPr="006F0F1B">
        <w:rPr>
          <w:rFonts w:eastAsia="Calibri"/>
          <w:lang w:val="fr-FR"/>
        </w:rPr>
        <w:t xml:space="preserve">Le </w:t>
      </w:r>
      <w:r w:rsidR="00F45127">
        <w:rPr>
          <w:rFonts w:eastAsia="Calibri"/>
          <w:lang w:val="fr-FR"/>
        </w:rPr>
        <w:t>C</w:t>
      </w:r>
      <w:r w:rsidRPr="006F0F1B">
        <w:rPr>
          <w:rFonts w:eastAsia="Calibri"/>
          <w:lang w:val="fr-FR"/>
        </w:rPr>
        <w:t xml:space="preserve">omité </w:t>
      </w:r>
      <w:r w:rsidR="00F45127">
        <w:rPr>
          <w:rFonts w:eastAsia="Calibri"/>
          <w:lang w:val="fr-FR"/>
        </w:rPr>
        <w:t xml:space="preserve">pour l’élimination de la discrimination à l’égard des femmes </w:t>
      </w:r>
      <w:r w:rsidRPr="006F0F1B">
        <w:rPr>
          <w:rFonts w:eastAsia="Calibri"/>
          <w:lang w:val="fr-FR"/>
        </w:rPr>
        <w:t xml:space="preserve">et </w:t>
      </w:r>
      <w:r w:rsidR="00F45127">
        <w:rPr>
          <w:rFonts w:eastAsia="Calibri"/>
          <w:lang w:val="fr-FR"/>
        </w:rPr>
        <w:t>le Comité d</w:t>
      </w:r>
      <w:r w:rsidRPr="006F0F1B">
        <w:rPr>
          <w:rFonts w:eastAsia="Calibri"/>
          <w:lang w:val="fr-FR"/>
        </w:rPr>
        <w:t xml:space="preserve">es droits de </w:t>
      </w:r>
      <w:r w:rsidRPr="00DA64F5">
        <w:rPr>
          <w:rFonts w:eastAsia="Calibri"/>
          <w:lang w:val="fr-FR"/>
        </w:rPr>
        <w:t xml:space="preserve">l’enfant notent que </w:t>
      </w:r>
      <w:r w:rsidRPr="00E32163">
        <w:rPr>
          <w:rFonts w:eastAsia="Calibri"/>
          <w:lang w:val="fr-FR"/>
        </w:rPr>
        <w:t xml:space="preserve">les pratiques </w:t>
      </w:r>
      <w:r w:rsidR="004B2758" w:rsidRPr="00273ABE">
        <w:rPr>
          <w:rFonts w:eastAsia="Calibri"/>
          <w:lang w:val="fr-FR"/>
        </w:rPr>
        <w:t xml:space="preserve">préjudiciables </w:t>
      </w:r>
      <w:r w:rsidRPr="00DA64F5">
        <w:rPr>
          <w:rFonts w:eastAsia="Calibri"/>
          <w:lang w:val="fr-FR"/>
        </w:rPr>
        <w:t>qui affectent le</w:t>
      </w:r>
      <w:r w:rsidRPr="00E32163">
        <w:rPr>
          <w:rFonts w:eastAsia="Calibri"/>
          <w:lang w:val="fr-FR"/>
        </w:rPr>
        <w:t xml:space="preserve">s femmes et les </w:t>
      </w:r>
      <w:r w:rsidRPr="00DA64F5">
        <w:rPr>
          <w:rFonts w:eastAsia="Calibri"/>
          <w:lang w:val="fr-FR"/>
        </w:rPr>
        <w:lastRenderedPageBreak/>
        <w:t xml:space="preserve">filles sont profondément enracinées dans les attitudes sociales selon lesquelles les femmes et les filles sont inférieures aux hommes et </w:t>
      </w:r>
      <w:r w:rsidR="004740EB" w:rsidRPr="00273ABE">
        <w:rPr>
          <w:rFonts w:eastAsia="Calibri"/>
          <w:lang w:val="fr-FR"/>
        </w:rPr>
        <w:t xml:space="preserve">aux </w:t>
      </w:r>
      <w:r w:rsidRPr="00DA64F5">
        <w:rPr>
          <w:rFonts w:eastAsia="Calibri"/>
          <w:lang w:val="fr-FR"/>
        </w:rPr>
        <w:t>garçons en raison des rôles stéréotypés</w:t>
      </w:r>
      <w:r w:rsidRPr="00DA64F5">
        <w:rPr>
          <w:rStyle w:val="FootnoteReference"/>
          <w:rFonts w:eastAsia="Calibri"/>
          <w:lang w:val="fr-FR"/>
        </w:rPr>
        <w:footnoteReference w:id="15"/>
      </w:r>
      <w:r w:rsidRPr="00DA64F5">
        <w:rPr>
          <w:rFonts w:eastAsia="Calibri"/>
          <w:lang w:val="fr-FR"/>
        </w:rPr>
        <w:t xml:space="preserve">. Ils soulignent </w:t>
      </w:r>
      <w:r w:rsidRPr="00E32163">
        <w:rPr>
          <w:rFonts w:eastAsia="Calibri"/>
          <w:lang w:val="fr-FR"/>
        </w:rPr>
        <w:t>la dimension sexiste de la</w:t>
      </w:r>
      <w:r w:rsidRPr="0016746E">
        <w:rPr>
          <w:rFonts w:eastAsia="Calibri"/>
          <w:lang w:val="fr-FR"/>
        </w:rPr>
        <w:t xml:space="preserve"> violence et indiquent que les attitudes et les stéréotypes sexistes et sexuels, les déséquilibres des forces, les inégalités et la discrimination perpétuent la généralisation de pratiques </w:t>
      </w:r>
      <w:r w:rsidRPr="00E73028">
        <w:rPr>
          <w:rFonts w:eastAsia="Calibri"/>
          <w:lang w:val="fr-FR"/>
        </w:rPr>
        <w:t xml:space="preserve">qui </w:t>
      </w:r>
      <w:r w:rsidR="00094A38" w:rsidRPr="00E73028">
        <w:rPr>
          <w:rFonts w:eastAsia="Calibri"/>
          <w:lang w:val="fr-FR"/>
        </w:rPr>
        <w:t xml:space="preserve">s’accompagnent </w:t>
      </w:r>
      <w:r w:rsidR="004740EB" w:rsidRPr="00273ABE">
        <w:rPr>
          <w:rFonts w:eastAsia="Calibri"/>
          <w:lang w:val="fr-FR"/>
        </w:rPr>
        <w:t xml:space="preserve">souvent </w:t>
      </w:r>
      <w:r w:rsidR="00094A38" w:rsidRPr="00DA64F5">
        <w:rPr>
          <w:rFonts w:eastAsia="Calibri"/>
          <w:lang w:val="fr-FR"/>
        </w:rPr>
        <w:t xml:space="preserve">de </w:t>
      </w:r>
      <w:r w:rsidRPr="00DA64F5">
        <w:rPr>
          <w:rFonts w:eastAsia="Calibri"/>
          <w:lang w:val="fr-FR"/>
        </w:rPr>
        <w:t xml:space="preserve">violence ou </w:t>
      </w:r>
      <w:r w:rsidR="00094A38" w:rsidRPr="00DA64F5">
        <w:rPr>
          <w:rFonts w:eastAsia="Calibri"/>
          <w:lang w:val="fr-FR"/>
        </w:rPr>
        <w:t xml:space="preserve">de </w:t>
      </w:r>
      <w:r w:rsidRPr="00E32163">
        <w:rPr>
          <w:rFonts w:eastAsia="Calibri"/>
          <w:lang w:val="fr-FR"/>
        </w:rPr>
        <w:t>coercition.</w:t>
      </w:r>
      <w:r w:rsidRPr="0016746E">
        <w:rPr>
          <w:rFonts w:eastAsia="Calibri"/>
          <w:lang w:val="fr-FR"/>
        </w:rPr>
        <w:t xml:space="preserve"> Ils affirment que la nature et la prévalence de ces pratiques varient selon les régions et les cultures</w:t>
      </w:r>
      <w:r w:rsidRPr="00E73028">
        <w:rPr>
          <w:rFonts w:eastAsia="Calibri"/>
          <w:lang w:val="fr-FR"/>
        </w:rPr>
        <w:t>. Ces pratiques sont gravement préjudiciables pour chaque aspect de la vie des femmes et des filles qui en sont victimes</w:t>
      </w:r>
      <w:r w:rsidR="00A34793" w:rsidRPr="00E73028">
        <w:rPr>
          <w:rFonts w:eastAsia="Calibri"/>
          <w:lang w:val="fr-FR"/>
        </w:rPr>
        <w:t>. Elles comprenn</w:t>
      </w:r>
      <w:r w:rsidR="00A34793" w:rsidRPr="004D6249">
        <w:rPr>
          <w:rFonts w:eastAsia="Calibri"/>
          <w:lang w:val="fr-FR"/>
        </w:rPr>
        <w:t xml:space="preserve">ent notamment </w:t>
      </w:r>
      <w:r w:rsidRPr="00CD2281">
        <w:rPr>
          <w:rFonts w:eastAsia="Calibri"/>
          <w:lang w:val="fr-FR"/>
        </w:rPr>
        <w:t xml:space="preserve">l’inceste, les mutilations génitales féminines, le mariage précoce et/ou forcé, les crimes </w:t>
      </w:r>
      <w:r w:rsidR="00A34793" w:rsidRPr="00CD2281">
        <w:rPr>
          <w:rFonts w:eastAsia="Calibri"/>
          <w:lang w:val="fr-FR"/>
        </w:rPr>
        <w:t xml:space="preserve">dits </w:t>
      </w:r>
      <w:r w:rsidRPr="00CD2281">
        <w:rPr>
          <w:rFonts w:eastAsia="Calibri"/>
          <w:lang w:val="fr-FR"/>
        </w:rPr>
        <w:t>d’honneur, la violence relative à la dot, la négligence dans le traitement des filles, les restrictions alimentaires extrêmes, les tests de virginité, la servitude, la lapidation, les rites d’initiation violents, les pratiques de veuvage et l</w:t>
      </w:r>
      <w:r w:rsidR="00BC7BEE" w:rsidRPr="00CD2281">
        <w:rPr>
          <w:rFonts w:eastAsia="Calibri"/>
          <w:lang w:val="fr-FR"/>
        </w:rPr>
        <w:t>’</w:t>
      </w:r>
      <w:r w:rsidRPr="00CD2281">
        <w:rPr>
          <w:rFonts w:eastAsia="Calibri"/>
          <w:lang w:val="fr-FR"/>
        </w:rPr>
        <w:t>infanticide des filles</w:t>
      </w:r>
      <w:r w:rsidRPr="00E73028">
        <w:rPr>
          <w:rStyle w:val="FootnoteReference"/>
          <w:rFonts w:eastAsia="Calibri"/>
          <w:lang w:val="fr-FR"/>
        </w:rPr>
        <w:footnoteReference w:id="16"/>
      </w:r>
      <w:r w:rsidRPr="00E73028">
        <w:rPr>
          <w:rFonts w:eastAsia="Calibri"/>
          <w:lang w:val="fr-FR"/>
        </w:rPr>
        <w:t>.</w:t>
      </w:r>
      <w:r w:rsidRPr="006F0F1B">
        <w:rPr>
          <w:rFonts w:eastAsia="Calibri"/>
          <w:lang w:val="fr-FR"/>
        </w:rPr>
        <w:t xml:space="preserve"> Les obligations énoncées dans la Convention </w:t>
      </w:r>
      <w:r w:rsidR="00F45127">
        <w:rPr>
          <w:rFonts w:eastAsia="Calibri"/>
          <w:lang w:val="fr-FR"/>
        </w:rPr>
        <w:t xml:space="preserve">sur l’élimination de toutes les formes de discrimination à l’égard des femmes </w:t>
      </w:r>
      <w:r w:rsidRPr="006F0F1B">
        <w:rPr>
          <w:rFonts w:eastAsia="Calibri"/>
          <w:lang w:val="fr-FR"/>
        </w:rPr>
        <w:t xml:space="preserve">et la Convention relative aux droits de l’enfant </w:t>
      </w:r>
      <w:r w:rsidR="00FA4F34">
        <w:rPr>
          <w:rFonts w:eastAsia="Calibri"/>
          <w:lang w:val="fr-FR"/>
        </w:rPr>
        <w:t>constituent</w:t>
      </w:r>
      <w:r w:rsidR="00FA4F34" w:rsidRPr="006F0F1B">
        <w:rPr>
          <w:rFonts w:eastAsia="Calibri"/>
          <w:lang w:val="fr-FR"/>
        </w:rPr>
        <w:t xml:space="preserve"> </w:t>
      </w:r>
      <w:r w:rsidRPr="006F0F1B">
        <w:rPr>
          <w:rFonts w:eastAsia="Calibri"/>
          <w:lang w:val="fr-FR"/>
        </w:rPr>
        <w:t xml:space="preserve">la </w:t>
      </w:r>
      <w:r w:rsidRPr="00C1454D">
        <w:rPr>
          <w:rFonts w:eastAsia="Calibri"/>
          <w:lang w:val="fr-FR"/>
        </w:rPr>
        <w:t>base pour l</w:t>
      </w:r>
      <w:r w:rsidR="004740EB" w:rsidRPr="00C1454D">
        <w:rPr>
          <w:rFonts w:eastAsia="Calibri"/>
          <w:lang w:val="fr-FR"/>
        </w:rPr>
        <w:t xml:space="preserve">’élaboration </w:t>
      </w:r>
      <w:r w:rsidRPr="00C1454D">
        <w:rPr>
          <w:rFonts w:eastAsia="Calibri"/>
          <w:lang w:val="fr-FR"/>
        </w:rPr>
        <w:t>d</w:t>
      </w:r>
      <w:r w:rsidR="00BC7BEE" w:rsidRPr="00C1454D">
        <w:rPr>
          <w:rFonts w:eastAsia="Calibri"/>
          <w:lang w:val="fr-FR"/>
        </w:rPr>
        <w:t>’</w:t>
      </w:r>
      <w:r w:rsidRPr="00C1454D">
        <w:rPr>
          <w:rFonts w:eastAsia="Calibri"/>
          <w:lang w:val="fr-FR"/>
        </w:rPr>
        <w:t>une stratégie globale pour éliminer les pratiques préjudiciables</w:t>
      </w:r>
      <w:r w:rsidRPr="00C1454D">
        <w:rPr>
          <w:rStyle w:val="FootnoteReference"/>
          <w:rFonts w:eastAsia="Calibri"/>
          <w:lang w:val="fr-FR"/>
        </w:rPr>
        <w:footnoteReference w:id="17"/>
      </w:r>
      <w:r w:rsidRPr="00C1454D">
        <w:rPr>
          <w:rFonts w:eastAsia="Calibri"/>
          <w:lang w:val="fr-FR"/>
        </w:rPr>
        <w:t>.</w:t>
      </w:r>
      <w:r w:rsidRPr="006F0F1B">
        <w:rPr>
          <w:rFonts w:eastAsia="Calibri"/>
          <w:lang w:val="fr-FR"/>
        </w:rPr>
        <w:t xml:space="preserve"> Cette stratégie doit être bien définie, fondée sur les droits, localement pertinente et comprendre des mesures de soutien juridique, économique et social, combinées avec un engagement politique proportionnel et une responsabilité étatique à tous les niveaux. </w:t>
      </w:r>
    </w:p>
    <w:p w:rsidR="006879D2" w:rsidRPr="00ED069E" w:rsidRDefault="006879D2" w:rsidP="00D473F5">
      <w:pPr>
        <w:pStyle w:val="SingleTxtG"/>
        <w:numPr>
          <w:ilvl w:val="0"/>
          <w:numId w:val="33"/>
        </w:numPr>
        <w:ind w:left="1134" w:firstLine="0"/>
        <w:rPr>
          <w:rFonts w:eastAsia="Calibri"/>
          <w:lang w:val="fr-FR"/>
        </w:rPr>
      </w:pPr>
      <w:r w:rsidRPr="006F0F1B">
        <w:rPr>
          <w:rFonts w:eastAsia="Calibri"/>
          <w:lang w:val="fr-FR"/>
        </w:rPr>
        <w:t xml:space="preserve">Dans de nombreux contextes, les </w:t>
      </w:r>
      <w:r w:rsidR="00983353" w:rsidRPr="00ED069E">
        <w:rPr>
          <w:rFonts w:eastAsia="Calibri"/>
          <w:lang w:val="fr-FR"/>
        </w:rPr>
        <w:t>États</w:t>
      </w:r>
      <w:r w:rsidRPr="006F0F1B">
        <w:rPr>
          <w:rFonts w:eastAsia="Calibri"/>
          <w:lang w:val="fr-FR"/>
        </w:rPr>
        <w:t xml:space="preserve"> échouent à établir et </w:t>
      </w:r>
      <w:r w:rsidR="00274BC0">
        <w:rPr>
          <w:rFonts w:eastAsia="Calibri"/>
          <w:lang w:val="fr-FR"/>
        </w:rPr>
        <w:t xml:space="preserve">à </w:t>
      </w:r>
      <w:r w:rsidRPr="006F0F1B">
        <w:rPr>
          <w:rFonts w:eastAsia="Calibri"/>
          <w:lang w:val="fr-FR"/>
        </w:rPr>
        <w:t xml:space="preserve">faire respecter une hiérarchie juridique claire fondée sur les garanties d’égalité et de non-discrimination énoncées dans le </w:t>
      </w:r>
      <w:r w:rsidR="00161EB5" w:rsidRPr="006F0F1B">
        <w:rPr>
          <w:rFonts w:eastAsia="Calibri"/>
          <w:lang w:val="fr-FR"/>
        </w:rPr>
        <w:t>droit international relatif aux droits de l’homme</w:t>
      </w:r>
      <w:r w:rsidRPr="006F0F1B">
        <w:rPr>
          <w:rFonts w:eastAsia="Calibri"/>
          <w:lang w:val="fr-FR"/>
        </w:rPr>
        <w:t xml:space="preserve"> et dans les lois nationales, </w:t>
      </w:r>
      <w:r w:rsidRPr="006F0F1B">
        <w:rPr>
          <w:rFonts w:eastAsia="Calibri"/>
          <w:color w:val="000000"/>
          <w:lang w:val="fr-FR"/>
        </w:rPr>
        <w:t>contribuant au maintien de modes d’organisation et de comportements pa</w:t>
      </w:r>
      <w:r w:rsidRPr="00C1454D">
        <w:rPr>
          <w:rFonts w:eastAsia="Calibri"/>
          <w:color w:val="000000"/>
          <w:lang w:val="fr-FR"/>
        </w:rPr>
        <w:t>triarcaux</w:t>
      </w:r>
      <w:r w:rsidRPr="006F0F1B">
        <w:rPr>
          <w:rStyle w:val="FootnoteReference"/>
          <w:rFonts w:eastAsia="Calibri"/>
          <w:lang w:val="fr-FR"/>
        </w:rPr>
        <w:footnoteReference w:id="18"/>
      </w:r>
      <w:r w:rsidRPr="006F0F1B">
        <w:rPr>
          <w:rFonts w:eastAsia="Calibri"/>
          <w:color w:val="000000"/>
          <w:lang w:val="fr-FR"/>
        </w:rPr>
        <w:t xml:space="preserve">. Même quand la loi est indépendante de toute source religieuse, elle peut être fortement influencée par la culture, découlant </w:t>
      </w:r>
      <w:r w:rsidRPr="006F0F1B">
        <w:rPr>
          <w:rFonts w:eastAsia="Calibri"/>
          <w:lang w:val="fr-FR"/>
        </w:rPr>
        <w:t>d’idéologies dominantes liées à la religion, aux attitudes traditionnelles et aux normes sociales.</w:t>
      </w:r>
      <w:r w:rsidRPr="006F0F1B">
        <w:rPr>
          <w:rFonts w:eastAsia="Calibri"/>
          <w:color w:val="000000"/>
          <w:lang w:val="fr-FR"/>
        </w:rPr>
        <w:t xml:space="preserve"> Certains</w:t>
      </w:r>
      <w:r w:rsidRPr="006F0F1B">
        <w:rPr>
          <w:rFonts w:eastAsia="Calibri"/>
          <w:lang w:val="fr-FR"/>
        </w:rPr>
        <w:t xml:space="preserve"> </w:t>
      </w:r>
      <w:r w:rsidR="00983353" w:rsidRPr="00ED069E">
        <w:rPr>
          <w:rFonts w:eastAsia="Calibri"/>
          <w:lang w:val="fr-FR"/>
        </w:rPr>
        <w:t>États</w:t>
      </w:r>
      <w:r w:rsidRPr="006F0F1B">
        <w:rPr>
          <w:rFonts w:eastAsia="Calibri"/>
          <w:lang w:val="fr-FR"/>
        </w:rPr>
        <w:t xml:space="preserve"> adoptent des législations et des règlements nationaux restreignant les droits, le pouvoir et la mobilité des femmes sur la base de points de vue </w:t>
      </w:r>
      <w:r w:rsidRPr="00F86312">
        <w:rPr>
          <w:rFonts w:eastAsia="Calibri"/>
          <w:lang w:val="fr-FR"/>
        </w:rPr>
        <w:t>essentialistes</w:t>
      </w:r>
      <w:r w:rsidRPr="006F0F1B">
        <w:rPr>
          <w:rFonts w:eastAsia="Calibri"/>
          <w:lang w:val="fr-FR"/>
        </w:rPr>
        <w:t xml:space="preserve"> d’une culture ou d’une religion particulière. Des mouvements extrémistes religieux conservateurs imposent des codes de modestie sévères pour asservir les femmes et les filles au nom de la religion, notamment dans les situations de </w:t>
      </w:r>
      <w:r w:rsidRPr="005E778E">
        <w:rPr>
          <w:rFonts w:eastAsia="Calibri"/>
          <w:lang w:val="fr-FR"/>
        </w:rPr>
        <w:t>transition politique et de conflit. Par</w:t>
      </w:r>
      <w:r w:rsidRPr="006F0F1B">
        <w:rPr>
          <w:rFonts w:eastAsia="Calibri"/>
          <w:lang w:val="fr-FR"/>
        </w:rPr>
        <w:t xml:space="preserve"> exemple, certaines branches de l’</w:t>
      </w:r>
      <w:r w:rsidR="00147C81">
        <w:rPr>
          <w:rFonts w:eastAsia="Calibri"/>
          <w:lang w:val="fr-FR"/>
        </w:rPr>
        <w:t>i</w:t>
      </w:r>
      <w:r w:rsidRPr="006F0F1B">
        <w:rPr>
          <w:rFonts w:eastAsia="Calibri"/>
          <w:lang w:val="fr-FR"/>
        </w:rPr>
        <w:t xml:space="preserve">slam ont réintroduit le mariage forcé et/ou précoce et certaines branches du </w:t>
      </w:r>
      <w:r w:rsidR="00147C81">
        <w:rPr>
          <w:rFonts w:eastAsia="Calibri"/>
          <w:lang w:val="fr-FR"/>
        </w:rPr>
        <w:t>c</w:t>
      </w:r>
      <w:r w:rsidRPr="006F0F1B">
        <w:rPr>
          <w:rFonts w:eastAsia="Calibri"/>
          <w:lang w:val="fr-FR"/>
        </w:rPr>
        <w:t xml:space="preserve">hristianisme empêchent les femmes d’avoir accès à </w:t>
      </w:r>
      <w:r w:rsidR="005E778E" w:rsidRPr="005E778E">
        <w:rPr>
          <w:rFonts w:eastAsia="Calibri"/>
          <w:lang w:val="fr-FR"/>
        </w:rPr>
        <w:t>l’</w:t>
      </w:r>
      <w:r w:rsidRPr="005E778E">
        <w:rPr>
          <w:rFonts w:eastAsia="Calibri"/>
          <w:lang w:val="fr-FR"/>
        </w:rPr>
        <w:t>avortement thérapeutique.</w:t>
      </w:r>
      <w:r w:rsidRPr="006F0F1B">
        <w:rPr>
          <w:rFonts w:eastAsia="Calibri"/>
          <w:lang w:val="fr-FR"/>
        </w:rPr>
        <w:t xml:space="preserve"> L’extrémisme religieux limite les droits des femmes, y compris leur droit à la santé ou à des activités économiques, et elles sont généralement soumises à des sanctions sévères pour des crimes commis contre le </w:t>
      </w:r>
      <w:r w:rsidRPr="00F86312">
        <w:rPr>
          <w:rFonts w:eastAsia="Calibri"/>
          <w:lang w:val="fr-FR"/>
        </w:rPr>
        <w:t>patriarcat</w:t>
      </w:r>
      <w:r w:rsidRPr="006F0F1B">
        <w:rPr>
          <w:rFonts w:eastAsia="Calibri"/>
          <w:lang w:val="fr-FR"/>
        </w:rPr>
        <w:t xml:space="preserve"> comme l’adultère.</w:t>
      </w:r>
      <w:r w:rsidRPr="00ED069E">
        <w:rPr>
          <w:rFonts w:eastAsia="Calibri"/>
          <w:lang w:val="fr-FR"/>
        </w:rPr>
        <w:t xml:space="preserve"> </w:t>
      </w:r>
      <w:r w:rsidRPr="006F0F1B">
        <w:rPr>
          <w:rFonts w:eastAsia="Calibri"/>
          <w:lang w:val="fr-FR"/>
        </w:rPr>
        <w:t xml:space="preserve">Au niveau international, de nombreux </w:t>
      </w:r>
      <w:r w:rsidR="00983353" w:rsidRPr="00ED069E">
        <w:rPr>
          <w:rFonts w:eastAsia="Calibri"/>
          <w:lang w:val="fr-FR"/>
        </w:rPr>
        <w:t>États</w:t>
      </w:r>
      <w:r w:rsidRPr="006F0F1B">
        <w:rPr>
          <w:rFonts w:eastAsia="Calibri"/>
          <w:lang w:val="fr-FR"/>
        </w:rPr>
        <w:t xml:space="preserve"> justifient les réserves émises sur des </w:t>
      </w:r>
      <w:r w:rsidR="00AE7DC6">
        <w:rPr>
          <w:rFonts w:eastAsia="Calibri"/>
          <w:lang w:val="fr-FR"/>
        </w:rPr>
        <w:t xml:space="preserve">articles </w:t>
      </w:r>
      <w:r w:rsidRPr="006F0F1B">
        <w:rPr>
          <w:rFonts w:eastAsia="Calibri"/>
          <w:lang w:val="fr-FR"/>
        </w:rPr>
        <w:t xml:space="preserve">de plusieurs </w:t>
      </w:r>
      <w:r w:rsidR="00147C81">
        <w:rPr>
          <w:rFonts w:eastAsia="Calibri"/>
          <w:lang w:val="fr-FR"/>
        </w:rPr>
        <w:t>c</w:t>
      </w:r>
      <w:r w:rsidRPr="006F0F1B">
        <w:rPr>
          <w:rFonts w:eastAsia="Calibri"/>
          <w:lang w:val="fr-FR"/>
        </w:rPr>
        <w:t>onventions relatives aux droits de l’homme, y</w:t>
      </w:r>
      <w:r w:rsidR="00FE14CE">
        <w:rPr>
          <w:rFonts w:eastAsia="Calibri"/>
          <w:lang w:val="fr-FR"/>
        </w:rPr>
        <w:t> </w:t>
      </w:r>
      <w:r w:rsidRPr="006F0F1B">
        <w:rPr>
          <w:rFonts w:eastAsia="Calibri"/>
          <w:lang w:val="fr-FR"/>
        </w:rPr>
        <w:t xml:space="preserve">compris la Convention </w:t>
      </w:r>
      <w:r w:rsidR="00F45127">
        <w:rPr>
          <w:rFonts w:eastAsia="Calibri"/>
          <w:lang w:val="fr-FR"/>
        </w:rPr>
        <w:t>sur l’élimination de toutes les formes de discrimination à l’égard des femmes</w:t>
      </w:r>
      <w:r w:rsidRPr="006F0F1B">
        <w:rPr>
          <w:rFonts w:eastAsia="Calibri"/>
          <w:lang w:val="fr-FR"/>
        </w:rPr>
        <w:t>, au nom de la préservation de la culture et la religion</w:t>
      </w:r>
      <w:r w:rsidRPr="00DA64F5">
        <w:rPr>
          <w:rFonts w:eastAsia="Calibri"/>
          <w:lang w:val="fr-FR"/>
        </w:rPr>
        <w:t xml:space="preserve">. Les résolutions du </w:t>
      </w:r>
      <w:r w:rsidR="003B1BF8" w:rsidRPr="00DA64F5">
        <w:rPr>
          <w:rFonts w:eastAsia="Calibri"/>
          <w:lang w:val="fr-FR"/>
        </w:rPr>
        <w:t>Conseil des droits de l’homme</w:t>
      </w:r>
      <w:r w:rsidRPr="00E32163">
        <w:rPr>
          <w:rFonts w:eastAsia="Calibri"/>
          <w:lang w:val="fr-FR"/>
        </w:rPr>
        <w:t xml:space="preserve"> 16/3 </w:t>
      </w:r>
      <w:r w:rsidR="005333DF" w:rsidRPr="00E32163">
        <w:rPr>
          <w:rFonts w:eastAsia="Calibri"/>
          <w:lang w:val="fr-FR"/>
        </w:rPr>
        <w:t xml:space="preserve">sur </w:t>
      </w:r>
      <w:r w:rsidRPr="0016746E">
        <w:rPr>
          <w:rFonts w:eastAsia="Calibri"/>
          <w:iCs/>
          <w:lang w:val="fr-FR"/>
        </w:rPr>
        <w:t xml:space="preserve">la promotion des droits </w:t>
      </w:r>
      <w:r w:rsidR="005333DF" w:rsidRPr="00E73028">
        <w:rPr>
          <w:rFonts w:eastAsia="Calibri"/>
          <w:iCs/>
          <w:lang w:val="fr-FR"/>
        </w:rPr>
        <w:t xml:space="preserve">de l’homme </w:t>
      </w:r>
      <w:r w:rsidRPr="00E73028">
        <w:rPr>
          <w:rFonts w:eastAsia="Calibri"/>
          <w:iCs/>
          <w:lang w:val="fr-FR"/>
        </w:rPr>
        <w:t>et</w:t>
      </w:r>
      <w:r w:rsidR="002D54FB" w:rsidRPr="004D6249">
        <w:rPr>
          <w:rFonts w:eastAsia="Calibri"/>
          <w:iCs/>
          <w:lang w:val="fr-FR"/>
        </w:rPr>
        <w:t xml:space="preserve"> </w:t>
      </w:r>
      <w:r w:rsidRPr="00CD2281">
        <w:rPr>
          <w:rFonts w:eastAsia="Calibri"/>
          <w:iCs/>
          <w:lang w:val="fr-FR"/>
        </w:rPr>
        <w:t xml:space="preserve">des libertés fondamentales </w:t>
      </w:r>
      <w:r w:rsidR="005333DF" w:rsidRPr="00CD2281">
        <w:rPr>
          <w:rFonts w:eastAsia="Calibri"/>
          <w:iCs/>
          <w:lang w:val="fr-FR"/>
        </w:rPr>
        <w:t xml:space="preserve">par </w:t>
      </w:r>
      <w:r w:rsidRPr="00CD2281">
        <w:rPr>
          <w:rFonts w:eastAsia="Calibri"/>
          <w:iCs/>
          <w:lang w:val="fr-FR"/>
        </w:rPr>
        <w:t>une meilleure compréhension des valeurs traditionnelles de l</w:t>
      </w:r>
      <w:r w:rsidR="00BC7BEE" w:rsidRPr="00CD2281">
        <w:rPr>
          <w:rFonts w:eastAsia="Calibri"/>
          <w:iCs/>
          <w:lang w:val="fr-FR"/>
        </w:rPr>
        <w:t>’</w:t>
      </w:r>
      <w:r w:rsidRPr="00CD2281">
        <w:rPr>
          <w:rFonts w:eastAsia="Calibri"/>
          <w:iCs/>
          <w:lang w:val="fr-FR"/>
        </w:rPr>
        <w:t>humanité</w:t>
      </w:r>
      <w:r w:rsidR="005333DF" w:rsidRPr="00CD2281">
        <w:rPr>
          <w:rFonts w:eastAsia="Calibri"/>
          <w:iCs/>
          <w:lang w:val="fr-FR"/>
        </w:rPr>
        <w:t xml:space="preserve"> </w:t>
      </w:r>
      <w:r w:rsidRPr="00CD2281">
        <w:rPr>
          <w:rFonts w:eastAsia="Calibri"/>
          <w:iCs/>
          <w:lang w:val="fr-FR"/>
        </w:rPr>
        <w:t>et 26/11 sur la protection de la famille</w:t>
      </w:r>
      <w:r w:rsidRPr="006F0F1B">
        <w:rPr>
          <w:rFonts w:eastAsia="Calibri"/>
          <w:iCs/>
          <w:lang w:val="fr-FR"/>
        </w:rPr>
        <w:t xml:space="preserve"> tendent à menacer les acquis internationaux en matière de droits de l’homme au nom de la diversité culturelle et religieuse.</w:t>
      </w:r>
      <w:r w:rsidRPr="00ED069E">
        <w:rPr>
          <w:rFonts w:eastAsia="Calibri"/>
          <w:lang w:val="fr-FR"/>
        </w:rPr>
        <w:t xml:space="preserve"> </w:t>
      </w:r>
    </w:p>
    <w:p w:rsidR="006879D2" w:rsidRPr="006F0F1B" w:rsidRDefault="006879D2" w:rsidP="000529DC">
      <w:pPr>
        <w:pStyle w:val="SingleTxtG"/>
        <w:numPr>
          <w:ilvl w:val="0"/>
          <w:numId w:val="33"/>
        </w:numPr>
        <w:ind w:left="1134" w:firstLine="0"/>
        <w:rPr>
          <w:rFonts w:eastAsia="Calibri"/>
          <w:lang w:val="fr-FR"/>
        </w:rPr>
      </w:pPr>
      <w:r w:rsidRPr="006F0F1B">
        <w:rPr>
          <w:rFonts w:eastAsia="Calibri"/>
          <w:lang w:val="fr-FR"/>
        </w:rPr>
        <w:lastRenderedPageBreak/>
        <w:t xml:space="preserve">Le </w:t>
      </w:r>
      <w:r w:rsidR="00736F92">
        <w:rPr>
          <w:rFonts w:eastAsia="Calibri"/>
          <w:lang w:val="fr-FR"/>
        </w:rPr>
        <w:t>Groupe de travail</w:t>
      </w:r>
      <w:r w:rsidRPr="006F0F1B">
        <w:rPr>
          <w:rFonts w:eastAsia="Calibri"/>
          <w:lang w:val="fr-FR"/>
        </w:rPr>
        <w:t xml:space="preserve"> est préoccupé par l’accroissement considérable de lois et de politiques publiques élaborées </w:t>
      </w:r>
      <w:r w:rsidR="00680832" w:rsidRPr="006F0F1B">
        <w:rPr>
          <w:rFonts w:eastAsia="Calibri"/>
          <w:lang w:val="fr-FR"/>
        </w:rPr>
        <w:t>pour protéger</w:t>
      </w:r>
      <w:r w:rsidRPr="006F0F1B">
        <w:rPr>
          <w:rFonts w:eastAsia="Calibri"/>
          <w:lang w:val="fr-FR"/>
        </w:rPr>
        <w:t xml:space="preserve"> la culture et la religion et qui menacent les normes établies </w:t>
      </w:r>
      <w:r w:rsidR="00274BC0">
        <w:rPr>
          <w:rFonts w:eastAsia="Calibri"/>
          <w:lang w:val="fr-FR"/>
        </w:rPr>
        <w:t xml:space="preserve">au plan </w:t>
      </w:r>
      <w:r w:rsidRPr="00F86312">
        <w:rPr>
          <w:rFonts w:eastAsia="Calibri"/>
          <w:lang w:val="fr-FR"/>
        </w:rPr>
        <w:t>universel</w:t>
      </w:r>
      <w:r w:rsidR="00274BC0" w:rsidRPr="00273ABE">
        <w:rPr>
          <w:rFonts w:eastAsia="Calibri"/>
          <w:lang w:val="fr-FR"/>
        </w:rPr>
        <w:t xml:space="preserve"> sur les </w:t>
      </w:r>
      <w:r w:rsidRPr="006F0F1B">
        <w:rPr>
          <w:rFonts w:eastAsia="Calibri"/>
          <w:lang w:val="fr-FR"/>
        </w:rPr>
        <w:t xml:space="preserve">droits des femmes. Les stéréotypes fondés sur le genre, souvent renforcés et légitimés dans les constitutions, la législation et les politiques nationales, sont justifiés au nom des normes culturelles ou de croyances religieuses. Si ces stéréotypes ne sont pas éliminés, cela conduit à l’apparition généralisée de pratiques préjudiciables pour les femmes et les filles. Les stéréotypes sexistes qui existent dans les médias, sur Internet, dans les productions audiovisuelles ou encore dans les jeux </w:t>
      </w:r>
      <w:r w:rsidRPr="005258C4">
        <w:rPr>
          <w:rFonts w:eastAsia="Calibri"/>
          <w:lang w:val="fr-FR"/>
        </w:rPr>
        <w:t>vidéo</w:t>
      </w:r>
      <w:r w:rsidRPr="006F0F1B">
        <w:rPr>
          <w:rFonts w:eastAsia="Calibri"/>
          <w:lang w:val="fr-FR"/>
        </w:rPr>
        <w:t xml:space="preserve"> contribuent à perpétuer une culture discriminatoire et de violence </w:t>
      </w:r>
      <w:r w:rsidR="000529DC">
        <w:rPr>
          <w:rFonts w:eastAsia="Calibri"/>
          <w:lang w:val="fr-FR"/>
        </w:rPr>
        <w:t>à l’égard d</w:t>
      </w:r>
      <w:r w:rsidRPr="006F0F1B">
        <w:rPr>
          <w:rFonts w:eastAsia="Calibri"/>
          <w:lang w:val="fr-FR"/>
        </w:rPr>
        <w:t>es femmes.</w:t>
      </w:r>
    </w:p>
    <w:p w:rsidR="006879D2" w:rsidRPr="005E778E" w:rsidRDefault="006879D2" w:rsidP="005E778E">
      <w:pPr>
        <w:pStyle w:val="SingleTxtG"/>
        <w:numPr>
          <w:ilvl w:val="0"/>
          <w:numId w:val="33"/>
        </w:numPr>
        <w:ind w:left="1134" w:firstLine="0"/>
        <w:rPr>
          <w:rFonts w:eastAsia="Calibri"/>
          <w:color w:val="000000"/>
          <w:lang w:val="fr-FR"/>
        </w:rPr>
      </w:pPr>
      <w:r w:rsidRPr="006F0F1B">
        <w:rPr>
          <w:rFonts w:eastAsia="Calibri"/>
          <w:color w:val="000000"/>
          <w:lang w:val="fr-FR"/>
        </w:rPr>
        <w:t xml:space="preserve">Les femmes ne se conformant pas aux stéréotypes de genre prédominants dans certaines cultures, et celles qui les contestent ouvertement, y compris au sein de leurs propres communautés culturelles ou religieuses, sont particulièrement vulnérables à la discrimination, </w:t>
      </w:r>
      <w:r w:rsidR="004740EB">
        <w:rPr>
          <w:rFonts w:eastAsia="Calibri"/>
          <w:color w:val="000000"/>
          <w:lang w:val="fr-FR"/>
        </w:rPr>
        <w:t xml:space="preserve">à </w:t>
      </w:r>
      <w:r w:rsidRPr="006F0F1B">
        <w:rPr>
          <w:rFonts w:eastAsia="Calibri"/>
          <w:color w:val="000000"/>
          <w:lang w:val="fr-FR"/>
        </w:rPr>
        <w:t xml:space="preserve">la violence et </w:t>
      </w:r>
      <w:r w:rsidR="004740EB">
        <w:rPr>
          <w:rFonts w:eastAsia="Calibri"/>
          <w:color w:val="000000"/>
          <w:lang w:val="fr-FR"/>
        </w:rPr>
        <w:t xml:space="preserve">à </w:t>
      </w:r>
      <w:r w:rsidRPr="006F0F1B">
        <w:rPr>
          <w:rFonts w:eastAsia="Calibri"/>
          <w:color w:val="000000"/>
          <w:lang w:val="fr-FR"/>
        </w:rPr>
        <w:t>la criminalisation. Cela comprend, entre autres, les femmes célibataires, veuves, chefs de famille</w:t>
      </w:r>
      <w:r w:rsidRPr="005258C4">
        <w:rPr>
          <w:rFonts w:eastAsia="Calibri"/>
          <w:color w:val="000000"/>
          <w:lang w:val="fr-FR"/>
        </w:rPr>
        <w:t>, lesbiennes, bisexuelles et transgenres, les</w:t>
      </w:r>
      <w:r w:rsidRPr="006F0F1B">
        <w:rPr>
          <w:rFonts w:eastAsia="Calibri"/>
          <w:color w:val="000000"/>
          <w:lang w:val="fr-FR"/>
        </w:rPr>
        <w:t xml:space="preserve"> travailleuses du sexe et les femmes défenseurs des droits de l’homme. Le </w:t>
      </w:r>
      <w:r w:rsidR="00736F92">
        <w:rPr>
          <w:rFonts w:eastAsia="Calibri"/>
          <w:color w:val="000000"/>
          <w:lang w:val="fr-FR"/>
        </w:rPr>
        <w:t>Groupe de travail</w:t>
      </w:r>
      <w:r w:rsidRPr="006F0F1B">
        <w:rPr>
          <w:rFonts w:eastAsia="Calibri"/>
          <w:color w:val="000000"/>
          <w:lang w:val="fr-FR"/>
        </w:rPr>
        <w:t xml:space="preserve"> souligne que l</w:t>
      </w:r>
      <w:r w:rsidR="00BC7BEE">
        <w:rPr>
          <w:rFonts w:eastAsia="Calibri"/>
          <w:color w:val="000000"/>
          <w:lang w:val="fr-FR"/>
        </w:rPr>
        <w:t>’</w:t>
      </w:r>
      <w:r w:rsidRPr="006F0F1B">
        <w:rPr>
          <w:rFonts w:eastAsia="Calibri"/>
          <w:color w:val="000000"/>
          <w:lang w:val="fr-FR"/>
        </w:rPr>
        <w:t xml:space="preserve">obligation des </w:t>
      </w:r>
      <w:r w:rsidR="00983353" w:rsidRPr="00ED069E">
        <w:rPr>
          <w:rFonts w:eastAsia="Calibri"/>
          <w:color w:val="000000"/>
          <w:lang w:val="fr-FR"/>
        </w:rPr>
        <w:t>États</w:t>
      </w:r>
      <w:r w:rsidRPr="006F0F1B">
        <w:rPr>
          <w:rFonts w:eastAsia="Calibri"/>
          <w:color w:val="000000"/>
          <w:lang w:val="fr-FR"/>
        </w:rPr>
        <w:t xml:space="preserve"> de protéger la diversité culturelle </w:t>
      </w:r>
      <w:r w:rsidRPr="005E778E">
        <w:rPr>
          <w:rFonts w:eastAsia="Calibri"/>
          <w:color w:val="000000"/>
          <w:lang w:val="fr-FR"/>
        </w:rPr>
        <w:t xml:space="preserve">s’applique aussi </w:t>
      </w:r>
      <w:r w:rsidR="005E778E" w:rsidRPr="00273ABE">
        <w:rPr>
          <w:rFonts w:eastAsia="Calibri"/>
          <w:color w:val="000000"/>
          <w:lang w:val="fr-FR"/>
        </w:rPr>
        <w:t xml:space="preserve">bien </w:t>
      </w:r>
      <w:r w:rsidRPr="005E778E">
        <w:rPr>
          <w:rFonts w:eastAsia="Calibri"/>
          <w:color w:val="000000"/>
          <w:lang w:val="fr-FR"/>
        </w:rPr>
        <w:t xml:space="preserve">à la diversité au sein des </w:t>
      </w:r>
      <w:r w:rsidRPr="00C1454D">
        <w:rPr>
          <w:rFonts w:eastAsia="Calibri"/>
          <w:color w:val="000000"/>
          <w:lang w:val="fr-FR"/>
        </w:rPr>
        <w:t>cultures</w:t>
      </w:r>
      <w:r w:rsidRPr="005E778E">
        <w:rPr>
          <w:rFonts w:eastAsia="Calibri"/>
          <w:color w:val="000000"/>
          <w:lang w:val="fr-FR"/>
        </w:rPr>
        <w:t xml:space="preserve"> qu’entre </w:t>
      </w:r>
      <w:r w:rsidR="005E778E" w:rsidRPr="00273ABE">
        <w:rPr>
          <w:rFonts w:eastAsia="Calibri"/>
          <w:color w:val="000000"/>
          <w:lang w:val="fr-FR"/>
        </w:rPr>
        <w:t>celles-ci</w:t>
      </w:r>
      <w:r w:rsidRPr="005E778E">
        <w:rPr>
          <w:rFonts w:eastAsia="Calibri"/>
          <w:color w:val="000000"/>
          <w:lang w:val="fr-FR"/>
        </w:rPr>
        <w:t>.</w:t>
      </w:r>
    </w:p>
    <w:p w:rsidR="006879D2" w:rsidRPr="006F0F1B" w:rsidRDefault="006879D2" w:rsidP="00A27B94">
      <w:pPr>
        <w:pStyle w:val="SingleTxtG"/>
        <w:numPr>
          <w:ilvl w:val="0"/>
          <w:numId w:val="33"/>
        </w:numPr>
        <w:ind w:left="1134" w:firstLine="0"/>
        <w:rPr>
          <w:rFonts w:eastAsia="Calibri"/>
          <w:color w:val="000000"/>
          <w:lang w:val="fr-FR"/>
        </w:rPr>
      </w:pPr>
      <w:r w:rsidRPr="006F0F1B">
        <w:rPr>
          <w:rFonts w:eastAsia="Calibri"/>
          <w:color w:val="000000"/>
          <w:lang w:val="fr-FR"/>
        </w:rPr>
        <w:t>Bien que les stéréotypes de genre imprègnent tous les aspects de l</w:t>
      </w:r>
      <w:r w:rsidR="00BC7BEE">
        <w:rPr>
          <w:rFonts w:eastAsia="Calibri"/>
          <w:color w:val="000000"/>
          <w:lang w:val="fr-FR"/>
        </w:rPr>
        <w:t>’</w:t>
      </w:r>
      <w:r w:rsidRPr="006F0F1B">
        <w:rPr>
          <w:rFonts w:eastAsia="Calibri"/>
          <w:color w:val="000000"/>
          <w:lang w:val="fr-FR"/>
        </w:rPr>
        <w:t xml:space="preserve">existence humaine, les droits des femmes sont particulièrement menacés dans le domaine familial. La famille est un lieu de perpétuation des valeurs traditionnelles, </w:t>
      </w:r>
      <w:r w:rsidR="00C96BA9">
        <w:rPr>
          <w:rFonts w:eastAsia="Calibri"/>
          <w:color w:val="000000"/>
          <w:lang w:val="fr-FR"/>
        </w:rPr>
        <w:t xml:space="preserve">elle </w:t>
      </w:r>
      <w:r w:rsidRPr="006F0F1B">
        <w:rPr>
          <w:rFonts w:eastAsia="Calibri"/>
          <w:color w:val="000000"/>
          <w:lang w:val="fr-FR"/>
        </w:rPr>
        <w:t>émane de la culture patriarcale et est une institution fondamentale pour maintenir le patriarcat. Le Groupe d</w:t>
      </w:r>
      <w:r w:rsidR="00736F92">
        <w:rPr>
          <w:rFonts w:eastAsia="Calibri"/>
          <w:color w:val="000000"/>
          <w:lang w:val="fr-FR"/>
        </w:rPr>
        <w:t xml:space="preserve">e travail </w:t>
      </w:r>
      <w:r w:rsidRPr="006F0F1B">
        <w:rPr>
          <w:rFonts w:eastAsia="Calibri"/>
          <w:color w:val="000000"/>
          <w:lang w:val="fr-FR"/>
        </w:rPr>
        <w:t>souligne que l</w:t>
      </w:r>
      <w:r w:rsidR="00BC7BEE">
        <w:rPr>
          <w:rFonts w:eastAsia="Calibri"/>
          <w:color w:val="000000"/>
          <w:lang w:val="fr-FR"/>
        </w:rPr>
        <w:t>’</w:t>
      </w:r>
      <w:r w:rsidRPr="006F0F1B">
        <w:rPr>
          <w:rFonts w:eastAsia="Calibri"/>
          <w:color w:val="000000"/>
          <w:lang w:val="fr-FR"/>
        </w:rPr>
        <w:t>égalité des droits dans la famille pour les femmes est étroitement liée à leurs droits dans tous les domaines de la vie, y compris dans la vie publique et politique et dans la vie sociale, économique et culturelle.</w:t>
      </w:r>
    </w:p>
    <w:p w:rsidR="006879D2" w:rsidRPr="006F0F1B" w:rsidRDefault="006879D2" w:rsidP="006879D2">
      <w:pPr>
        <w:pStyle w:val="H1G"/>
        <w:rPr>
          <w:lang w:val="fr-FR"/>
        </w:rPr>
      </w:pPr>
      <w:bookmarkStart w:id="14" w:name="_Toc412190765"/>
      <w:bookmarkStart w:id="15" w:name="_Toc414009670"/>
      <w:r w:rsidRPr="006F0F1B">
        <w:rPr>
          <w:lang w:val="fr-FR"/>
        </w:rPr>
        <w:tab/>
        <w:t>B.</w:t>
      </w:r>
      <w:r w:rsidRPr="006F0F1B">
        <w:rPr>
          <w:lang w:val="fr-FR"/>
        </w:rPr>
        <w:tab/>
        <w:t>La famille</w:t>
      </w:r>
      <w:bookmarkEnd w:id="14"/>
      <w:r w:rsidRPr="006F0F1B">
        <w:rPr>
          <w:lang w:val="fr-FR"/>
        </w:rPr>
        <w:t>: aspects conceptuels et sociologiques</w:t>
      </w:r>
      <w:bookmarkEnd w:id="15"/>
      <w:r w:rsidRPr="006F0F1B">
        <w:rPr>
          <w:lang w:val="fr-FR"/>
        </w:rPr>
        <w:t xml:space="preserve"> </w:t>
      </w:r>
    </w:p>
    <w:p w:rsidR="006879D2" w:rsidRPr="006F0F1B" w:rsidRDefault="006879D2" w:rsidP="003B088C">
      <w:pPr>
        <w:pStyle w:val="H23G"/>
        <w:rPr>
          <w:color w:val="000000"/>
          <w:lang w:val="fr-FR"/>
        </w:rPr>
      </w:pPr>
      <w:bookmarkStart w:id="16" w:name="_Toc412190766"/>
      <w:r w:rsidRPr="006F0F1B">
        <w:rPr>
          <w:lang w:val="fr-FR"/>
        </w:rPr>
        <w:tab/>
        <w:t>1.</w:t>
      </w:r>
      <w:r w:rsidRPr="006F0F1B">
        <w:rPr>
          <w:lang w:val="fr-FR"/>
        </w:rPr>
        <w:tab/>
        <w:t xml:space="preserve">Redéfinir la </w:t>
      </w:r>
      <w:r w:rsidRPr="00CE4AA4">
        <w:rPr>
          <w:lang w:val="fr-FR"/>
        </w:rPr>
        <w:t xml:space="preserve">famille </w:t>
      </w:r>
      <w:r w:rsidR="003B088C" w:rsidRPr="00CE4AA4">
        <w:rPr>
          <w:lang w:val="fr-FR"/>
        </w:rPr>
        <w:t xml:space="preserve">en intégrant une perspective </w:t>
      </w:r>
      <w:r w:rsidRPr="00CE4AA4">
        <w:rPr>
          <w:lang w:val="fr-FR"/>
        </w:rPr>
        <w:t>de genre</w:t>
      </w:r>
      <w:bookmarkEnd w:id="16"/>
    </w:p>
    <w:p w:rsidR="006879D2" w:rsidRPr="006F0F1B" w:rsidRDefault="00F144C9" w:rsidP="001F2954">
      <w:pPr>
        <w:pStyle w:val="SingleTxtG"/>
        <w:numPr>
          <w:ilvl w:val="0"/>
          <w:numId w:val="33"/>
        </w:numPr>
        <w:ind w:left="1134" w:firstLine="0"/>
        <w:rPr>
          <w:rFonts w:eastAsia="Calibri"/>
          <w:lang w:val="fr-FR"/>
        </w:rPr>
      </w:pPr>
      <w:r w:rsidRPr="006F0F1B">
        <w:rPr>
          <w:rFonts w:eastAsia="Calibri"/>
          <w:lang w:val="fr-FR"/>
        </w:rPr>
        <w:t>Il existe</w:t>
      </w:r>
      <w:r w:rsidR="006879D2" w:rsidRPr="006F0F1B">
        <w:rPr>
          <w:rFonts w:eastAsia="Calibri"/>
          <w:lang w:val="fr-FR"/>
        </w:rPr>
        <w:t xml:space="preserve"> </w:t>
      </w:r>
      <w:r w:rsidR="006879D2" w:rsidRPr="00DA64F5">
        <w:rPr>
          <w:rFonts w:eastAsia="Calibri"/>
          <w:lang w:val="fr-FR"/>
        </w:rPr>
        <w:t>diverses formes de la famille.</w:t>
      </w:r>
      <w:r w:rsidR="006879D2" w:rsidRPr="006F0F1B">
        <w:rPr>
          <w:rFonts w:eastAsia="Calibri"/>
          <w:lang w:val="fr-FR"/>
        </w:rPr>
        <w:t xml:space="preserve"> L’expression </w:t>
      </w:r>
      <w:r w:rsidR="006879D2" w:rsidRPr="004740EB">
        <w:rPr>
          <w:rFonts w:eastAsia="Calibri"/>
          <w:lang w:val="fr-FR"/>
        </w:rPr>
        <w:t>«familles</w:t>
      </w:r>
      <w:r w:rsidR="00ED069E" w:rsidRPr="00250230">
        <w:rPr>
          <w:rFonts w:eastAsia="Calibri"/>
          <w:lang w:val="fr-FR"/>
        </w:rPr>
        <w:t xml:space="preserve"> </w:t>
      </w:r>
      <w:r w:rsidR="006879D2" w:rsidRPr="00250230">
        <w:rPr>
          <w:rFonts w:eastAsia="Calibri"/>
          <w:lang w:val="fr-FR"/>
        </w:rPr>
        <w:t xml:space="preserve">diverses» </w:t>
      </w:r>
      <w:r w:rsidR="006879D2" w:rsidRPr="00DD7A8F">
        <w:rPr>
          <w:rFonts w:eastAsia="Calibri"/>
          <w:lang w:val="fr-FR"/>
        </w:rPr>
        <w:t>regroupe par exemple les familles monoparentales, les familles dirigées par des femmes, les familles intergénérationnelles comme les grands-parents, les familles dirigées par des enfants (comme les enfants orphelins ou des rues), les familles LGBTI</w:t>
      </w:r>
      <w:r w:rsidR="001F2954" w:rsidRPr="00DD7A8F">
        <w:rPr>
          <w:rFonts w:eastAsia="Calibri"/>
          <w:lang w:val="fr-FR"/>
        </w:rPr>
        <w:t xml:space="preserve"> (lesbiennes, homosexuels, bisexuels, transsexuels et intersexués)</w:t>
      </w:r>
      <w:r w:rsidR="006879D2" w:rsidRPr="00DD7A8F">
        <w:rPr>
          <w:rFonts w:eastAsia="Calibri"/>
          <w:lang w:val="fr-FR"/>
        </w:rPr>
        <w:t>, les familles élargies, les familles autocréées ou autodéfinies, les familles sans enfants, les familles de personnes divorcées, les familles polygames et les familles non traditionnelles (issues de mariages interreligieux, intercommunautaires ou intercastes). Les familles autodéfinies ou autocréées comprennent notamment les familles formées dans les communautés qui sont marginalisées. Dans toutes ces différentes formes de famille, l</w:t>
      </w:r>
      <w:r w:rsidR="006879D2" w:rsidRPr="006F0F1B">
        <w:rPr>
          <w:rFonts w:eastAsia="Calibri"/>
          <w:lang w:val="fr-FR"/>
        </w:rPr>
        <w:t xml:space="preserve">es femmes ont tendance à subir des sanctions juridiques et </w:t>
      </w:r>
      <w:r w:rsidR="002D18A3">
        <w:rPr>
          <w:rFonts w:eastAsia="Calibri"/>
          <w:lang w:val="fr-FR"/>
        </w:rPr>
        <w:t xml:space="preserve">à </w:t>
      </w:r>
      <w:r w:rsidR="006879D2" w:rsidRPr="006F0F1B">
        <w:rPr>
          <w:rFonts w:eastAsia="Calibri"/>
          <w:lang w:val="fr-FR"/>
        </w:rPr>
        <w:t xml:space="preserve">souffrir de </w:t>
      </w:r>
      <w:r w:rsidR="001F2954">
        <w:rPr>
          <w:rFonts w:eastAsia="Calibri"/>
          <w:lang w:val="fr-FR"/>
        </w:rPr>
        <w:t>situations</w:t>
      </w:r>
      <w:r w:rsidR="001F2954" w:rsidRPr="006F0F1B">
        <w:rPr>
          <w:rFonts w:eastAsia="Calibri"/>
          <w:lang w:val="fr-FR"/>
        </w:rPr>
        <w:t xml:space="preserve"> </w:t>
      </w:r>
      <w:r w:rsidR="006879D2" w:rsidRPr="006F0F1B">
        <w:rPr>
          <w:rFonts w:eastAsia="Calibri"/>
          <w:lang w:val="fr-FR"/>
        </w:rPr>
        <w:t xml:space="preserve">sociales et économiques difficiles. Les femmes autochtones, les femmes issues des minorités et les femmes vivant dans des systèmes patriarcaux religieux, coutumiers ou de caste stricts sont particulièrement vulnérables à </w:t>
      </w:r>
      <w:r w:rsidR="006879D2" w:rsidRPr="00DA64F5">
        <w:rPr>
          <w:rFonts w:eastAsia="Calibri"/>
          <w:lang w:val="fr-FR"/>
        </w:rPr>
        <w:t>ces formes de famille,</w:t>
      </w:r>
      <w:r w:rsidR="006879D2" w:rsidRPr="006F0F1B">
        <w:rPr>
          <w:rFonts w:eastAsia="Calibri"/>
          <w:lang w:val="fr-FR"/>
        </w:rPr>
        <w:t xml:space="preserve"> et en particulier aux mariages précoces et/ou forcés. Les hommes peuvent aussi avoir de multiples ménages ou des secondes familles avec leurs épouses ou partenaires de facto. </w:t>
      </w:r>
    </w:p>
    <w:p w:rsidR="006879D2" w:rsidRPr="006F0F1B" w:rsidRDefault="006879D2" w:rsidP="003B088C">
      <w:pPr>
        <w:pStyle w:val="SingleTxtG"/>
        <w:numPr>
          <w:ilvl w:val="0"/>
          <w:numId w:val="33"/>
        </w:numPr>
        <w:ind w:left="1134" w:firstLine="0"/>
        <w:rPr>
          <w:rFonts w:eastAsia="Calibri"/>
          <w:lang w:val="fr-FR"/>
        </w:rPr>
      </w:pPr>
      <w:r w:rsidRPr="006F0F1B">
        <w:rPr>
          <w:rFonts w:eastAsia="Calibri"/>
          <w:lang w:val="fr-FR"/>
        </w:rPr>
        <w:t>La forme de la famille et sa reconnaissance par l’</w:t>
      </w:r>
      <w:r w:rsidR="00983353" w:rsidRPr="00ED069E">
        <w:rPr>
          <w:rFonts w:eastAsia="Calibri"/>
          <w:lang w:val="fr-FR"/>
        </w:rPr>
        <w:t>État</w:t>
      </w:r>
      <w:r w:rsidRPr="006F0F1B">
        <w:rPr>
          <w:rFonts w:eastAsia="Calibri"/>
          <w:lang w:val="fr-FR"/>
        </w:rPr>
        <w:t xml:space="preserve"> sont influencées par une multitude de facteurs normatifs (</w:t>
      </w:r>
      <w:r w:rsidR="0028253A">
        <w:rPr>
          <w:rFonts w:eastAsia="Calibri"/>
          <w:lang w:val="fr-FR"/>
        </w:rPr>
        <w:t xml:space="preserve">comme </w:t>
      </w:r>
      <w:r w:rsidRPr="006F0F1B">
        <w:rPr>
          <w:rFonts w:eastAsia="Calibri"/>
          <w:lang w:val="fr-FR"/>
        </w:rPr>
        <w:t>la culture, la religion, la caste) et comportementaux (</w:t>
      </w:r>
      <w:r w:rsidR="0028253A">
        <w:rPr>
          <w:rFonts w:eastAsia="Calibri"/>
          <w:lang w:val="fr-FR"/>
        </w:rPr>
        <w:t>comme</w:t>
      </w:r>
      <w:r w:rsidRPr="006F0F1B">
        <w:rPr>
          <w:rFonts w:eastAsia="Calibri"/>
          <w:lang w:val="fr-FR"/>
        </w:rPr>
        <w:t xml:space="preserve"> les moyens de subsistance, la sexualité et le statut social). Bien que plusieurs forums internationaux reconnaissent la diversité familiale et ce, «</w:t>
      </w:r>
      <w:r w:rsidRPr="00DA64F5">
        <w:rPr>
          <w:rFonts w:eastAsia="Calibri"/>
          <w:lang w:val="fr-FR"/>
        </w:rPr>
        <w:t xml:space="preserve">selon les </w:t>
      </w:r>
      <w:r w:rsidRPr="00DA64F5">
        <w:rPr>
          <w:rFonts w:eastAsia="Calibri"/>
          <w:lang w:val="fr-FR"/>
        </w:rPr>
        <w:lastRenderedPageBreak/>
        <w:t>systèmes culturels, politiques et sociaux</w:t>
      </w:r>
      <w:r w:rsidRPr="006F0F1B">
        <w:rPr>
          <w:rStyle w:val="FootnoteReference"/>
          <w:rFonts w:eastAsia="Calibri"/>
          <w:lang w:val="fr-FR"/>
        </w:rPr>
        <w:footnoteReference w:id="19"/>
      </w:r>
      <w:r w:rsidR="003B088C" w:rsidRPr="00DA64F5">
        <w:rPr>
          <w:rFonts w:eastAsia="Calibri"/>
          <w:lang w:val="fr-FR"/>
        </w:rPr>
        <w:t>»</w:t>
      </w:r>
      <w:r w:rsidRPr="006F0F1B">
        <w:rPr>
          <w:rFonts w:eastAsia="Calibri"/>
          <w:lang w:val="fr-FR"/>
        </w:rPr>
        <w:t xml:space="preserve">, </w:t>
      </w:r>
      <w:r w:rsidR="00AB6BDC">
        <w:rPr>
          <w:rFonts w:eastAsia="Calibri"/>
          <w:lang w:val="fr-FR"/>
        </w:rPr>
        <w:t xml:space="preserve">de nombreuses </w:t>
      </w:r>
      <w:r w:rsidRPr="006F0F1B">
        <w:rPr>
          <w:rFonts w:eastAsia="Calibri"/>
          <w:lang w:val="fr-FR"/>
        </w:rPr>
        <w:t xml:space="preserve">formes non traditionnelles de la famille susmentionnées ne sont pas reconnues par tous les </w:t>
      </w:r>
      <w:r w:rsidR="00983353" w:rsidRPr="00ED069E">
        <w:rPr>
          <w:rFonts w:eastAsia="Calibri"/>
          <w:lang w:val="fr-FR"/>
        </w:rPr>
        <w:t>États</w:t>
      </w:r>
      <w:r w:rsidRPr="006F0F1B">
        <w:rPr>
          <w:rFonts w:eastAsia="Calibri"/>
          <w:lang w:val="fr-FR"/>
        </w:rPr>
        <w:t xml:space="preserve">. La famille est souvent définie par le système juridique comme unité fondée sur le mariage entre un homme et une femme, affectant les droits de succession, de propriété, de garde des enfants, de pension, de dégrèvement fiscal, de prestations de services sociaux, etc. Les lois ou les institutions publiques dans quelques </w:t>
      </w:r>
      <w:r w:rsidR="00983353" w:rsidRPr="00ED069E">
        <w:rPr>
          <w:rFonts w:eastAsia="Calibri"/>
          <w:lang w:val="fr-FR"/>
        </w:rPr>
        <w:t>États</w:t>
      </w:r>
      <w:r w:rsidRPr="006F0F1B">
        <w:rPr>
          <w:rFonts w:eastAsia="Calibri"/>
          <w:lang w:val="fr-FR"/>
        </w:rPr>
        <w:t xml:space="preserve"> exigent que cela soit un membre de la famille masculin ou un tuteur masculin qui commence ou termine une transaction officielle, ce qui désavantage les familles dirigées par des femmes ou composé</w:t>
      </w:r>
      <w:r w:rsidR="00AB6BDC">
        <w:rPr>
          <w:rFonts w:eastAsia="Calibri"/>
          <w:lang w:val="fr-FR"/>
        </w:rPr>
        <w:t>e</w:t>
      </w:r>
      <w:r w:rsidRPr="006F0F1B">
        <w:rPr>
          <w:rFonts w:eastAsia="Calibri"/>
          <w:lang w:val="fr-FR"/>
        </w:rPr>
        <w:t xml:space="preserve">s </w:t>
      </w:r>
      <w:r w:rsidR="00AB6BDC" w:rsidRPr="006F0F1B">
        <w:rPr>
          <w:rFonts w:eastAsia="Calibri"/>
          <w:lang w:val="fr-FR"/>
        </w:rPr>
        <w:t xml:space="preserve">uniquement </w:t>
      </w:r>
      <w:r w:rsidRPr="006F0F1B">
        <w:rPr>
          <w:rFonts w:eastAsia="Calibri"/>
          <w:lang w:val="fr-FR"/>
        </w:rPr>
        <w:t xml:space="preserve">de femmes. Les familles dirigées par </w:t>
      </w:r>
      <w:r w:rsidR="004740EB">
        <w:rPr>
          <w:rFonts w:eastAsia="Calibri"/>
          <w:lang w:val="fr-FR"/>
        </w:rPr>
        <w:t>d</w:t>
      </w:r>
      <w:r w:rsidRPr="006F0F1B">
        <w:rPr>
          <w:rFonts w:eastAsia="Calibri"/>
          <w:lang w:val="fr-FR"/>
        </w:rPr>
        <w:t xml:space="preserve">es femmes sont plus affectées par la pauvreté à cause de la discrimination qu’elles subissent, comme les familles dirigées par des enfants. Comme la reconnaissance étatique est souvent une condition pour permettre aux familles de recevoir des services et prestations, tels qu’un hébergement </w:t>
      </w:r>
      <w:r w:rsidRPr="00717A4F">
        <w:rPr>
          <w:rFonts w:eastAsia="Calibri"/>
          <w:lang w:val="fr-FR"/>
        </w:rPr>
        <w:t xml:space="preserve">et la protection </w:t>
      </w:r>
      <w:r w:rsidR="00DD7A8F" w:rsidRPr="00273ABE">
        <w:rPr>
          <w:rFonts w:eastAsia="Calibri"/>
          <w:lang w:val="fr-FR"/>
        </w:rPr>
        <w:t xml:space="preserve">fournie par l’État </w:t>
      </w:r>
      <w:r w:rsidR="00AA5730" w:rsidRPr="00273ABE">
        <w:rPr>
          <w:rFonts w:eastAsia="Calibri"/>
          <w:lang w:val="fr-FR"/>
        </w:rPr>
        <w:t>et/</w:t>
      </w:r>
      <w:r w:rsidR="00DD7A8F" w:rsidRPr="00273ABE">
        <w:rPr>
          <w:rFonts w:eastAsia="Calibri"/>
          <w:lang w:val="fr-FR"/>
        </w:rPr>
        <w:t xml:space="preserve">ou </w:t>
      </w:r>
      <w:r w:rsidRPr="00717A4F">
        <w:rPr>
          <w:rFonts w:eastAsia="Calibri"/>
          <w:lang w:val="fr-FR"/>
        </w:rPr>
        <w:t>des acteurs non étatiques,</w:t>
      </w:r>
      <w:r w:rsidRPr="00DD7A8F">
        <w:rPr>
          <w:rFonts w:eastAsia="Calibri"/>
          <w:lang w:val="fr-FR"/>
        </w:rPr>
        <w:t xml:space="preserve"> le</w:t>
      </w:r>
      <w:r w:rsidRPr="006F0F1B">
        <w:rPr>
          <w:rFonts w:eastAsia="Calibri"/>
          <w:lang w:val="fr-FR"/>
        </w:rPr>
        <w:t xml:space="preserve"> manque de reconnaissance a pour conséquence de marginaliser ces familles. </w:t>
      </w:r>
    </w:p>
    <w:p w:rsidR="006879D2" w:rsidRPr="006F0F1B" w:rsidRDefault="006879D2" w:rsidP="0028253A">
      <w:pPr>
        <w:pStyle w:val="SingleTxtG"/>
        <w:numPr>
          <w:ilvl w:val="0"/>
          <w:numId w:val="33"/>
        </w:numPr>
        <w:ind w:left="1134" w:firstLine="0"/>
        <w:rPr>
          <w:rFonts w:eastAsia="Calibri"/>
          <w:lang w:val="fr-FR"/>
        </w:rPr>
      </w:pPr>
      <w:r w:rsidRPr="006F0F1B">
        <w:rPr>
          <w:rFonts w:eastAsia="Calibri"/>
          <w:lang w:val="fr-FR"/>
        </w:rPr>
        <w:t xml:space="preserve">Le Groupe </w:t>
      </w:r>
      <w:r w:rsidR="00736F92">
        <w:rPr>
          <w:rFonts w:eastAsia="Calibri"/>
          <w:lang w:val="fr-FR"/>
        </w:rPr>
        <w:t xml:space="preserve">de travail </w:t>
      </w:r>
      <w:r w:rsidRPr="006F0F1B">
        <w:rPr>
          <w:rFonts w:eastAsia="Calibri"/>
          <w:lang w:val="fr-FR"/>
        </w:rPr>
        <w:t xml:space="preserve">estime que l’appréhension et la définition juridique de la famille dans les législations nationales devraient être élargies pour reconnaître les différentes formes de famille. La reconnaissance des couples de même sexe, à la fois pour les femmes et les hommes, </w:t>
      </w:r>
      <w:r w:rsidR="0028253A">
        <w:rPr>
          <w:rFonts w:eastAsia="Calibri"/>
          <w:lang w:val="fr-FR"/>
        </w:rPr>
        <w:t xml:space="preserve">et </w:t>
      </w:r>
      <w:r w:rsidRPr="006F0F1B">
        <w:rPr>
          <w:rFonts w:eastAsia="Calibri"/>
          <w:lang w:val="fr-FR"/>
        </w:rPr>
        <w:t xml:space="preserve">des </w:t>
      </w:r>
      <w:r w:rsidRPr="00DA64F5">
        <w:rPr>
          <w:rFonts w:eastAsia="Calibri"/>
          <w:lang w:val="fr-FR"/>
        </w:rPr>
        <w:t>autres formes de famille</w:t>
      </w:r>
      <w:r w:rsidRPr="006F0F1B">
        <w:rPr>
          <w:rFonts w:eastAsia="Calibri"/>
          <w:lang w:val="fr-FR"/>
        </w:rPr>
        <w:t>, est une bonne pratique que plusieurs États ont déjà mis</w:t>
      </w:r>
      <w:r w:rsidR="00677F74">
        <w:rPr>
          <w:rFonts w:eastAsia="Calibri"/>
          <w:lang w:val="fr-FR"/>
        </w:rPr>
        <w:t>e</w:t>
      </w:r>
      <w:r w:rsidRPr="006F0F1B">
        <w:rPr>
          <w:rFonts w:eastAsia="Calibri"/>
          <w:lang w:val="fr-FR"/>
        </w:rPr>
        <w:t xml:space="preserve"> en œuvre. </w:t>
      </w:r>
      <w:r w:rsidR="006B03CA" w:rsidRPr="00ED069E">
        <w:rPr>
          <w:rFonts w:eastAsia="Calibri"/>
          <w:lang w:val="fr-FR"/>
        </w:rPr>
        <w:t>À</w:t>
      </w:r>
      <w:r w:rsidRPr="006F0F1B">
        <w:rPr>
          <w:rFonts w:eastAsia="Calibri"/>
          <w:lang w:val="fr-FR"/>
        </w:rPr>
        <w:t xml:space="preserve"> cet égard, la Cour interaméricaine des droits de l’homme a confirmé que les mères lesbiennes ne devraient pas être privées du droit de garde de leurs enfants</w:t>
      </w:r>
      <w:r w:rsidRPr="006F0F1B">
        <w:rPr>
          <w:rStyle w:val="FootnoteReference"/>
          <w:rFonts w:eastAsia="Calibri"/>
          <w:lang w:val="fr-FR"/>
        </w:rPr>
        <w:footnoteReference w:id="20"/>
      </w:r>
      <w:r w:rsidRPr="006F0F1B">
        <w:rPr>
          <w:rFonts w:eastAsia="Calibri"/>
          <w:lang w:val="fr-FR"/>
        </w:rPr>
        <w:t>.</w:t>
      </w:r>
    </w:p>
    <w:p w:rsidR="006879D2" w:rsidRPr="006F0F1B" w:rsidRDefault="006879D2" w:rsidP="000529DC">
      <w:pPr>
        <w:pStyle w:val="SingleTxtG"/>
        <w:numPr>
          <w:ilvl w:val="0"/>
          <w:numId w:val="33"/>
        </w:numPr>
        <w:ind w:left="1134" w:firstLine="0"/>
        <w:rPr>
          <w:rFonts w:eastAsia="Calibri"/>
          <w:lang w:val="fr-FR"/>
        </w:rPr>
      </w:pPr>
      <w:r w:rsidRPr="006F0F1B">
        <w:rPr>
          <w:rFonts w:eastAsia="Calibri"/>
          <w:lang w:val="fr-FR"/>
        </w:rPr>
        <w:t xml:space="preserve">Cependant, toutes les formes de </w:t>
      </w:r>
      <w:r w:rsidRPr="00161D01">
        <w:rPr>
          <w:rFonts w:eastAsia="Calibri"/>
          <w:lang w:val="fr-FR"/>
        </w:rPr>
        <w:t>mariage</w:t>
      </w:r>
      <w:r w:rsidRPr="006F0F1B">
        <w:rPr>
          <w:rFonts w:eastAsia="Calibri"/>
          <w:lang w:val="fr-FR"/>
        </w:rPr>
        <w:t xml:space="preserve"> ne </w:t>
      </w:r>
      <w:r w:rsidRPr="00161D01">
        <w:rPr>
          <w:rFonts w:eastAsia="Calibri"/>
          <w:lang w:val="fr-FR"/>
        </w:rPr>
        <w:t>méritent</w:t>
      </w:r>
      <w:r w:rsidRPr="006F0F1B">
        <w:rPr>
          <w:rFonts w:eastAsia="Calibri"/>
          <w:lang w:val="fr-FR"/>
        </w:rPr>
        <w:t xml:space="preserve"> pas d’être reconnues. Le </w:t>
      </w:r>
      <w:r w:rsidR="00736F92">
        <w:rPr>
          <w:rFonts w:eastAsia="Calibri"/>
          <w:lang w:val="fr-FR"/>
        </w:rPr>
        <w:t>Groupe de travail</w:t>
      </w:r>
      <w:r w:rsidRPr="006F0F1B">
        <w:rPr>
          <w:rFonts w:eastAsia="Calibri"/>
          <w:lang w:val="fr-FR"/>
        </w:rPr>
        <w:t xml:space="preserve"> appelle à la non</w:t>
      </w:r>
      <w:r w:rsidR="00F144C9" w:rsidRPr="006F0F1B">
        <w:rPr>
          <w:rFonts w:eastAsia="Calibri"/>
          <w:lang w:val="fr-FR"/>
        </w:rPr>
        <w:t>-</w:t>
      </w:r>
      <w:r w:rsidRPr="006F0F1B">
        <w:rPr>
          <w:rFonts w:eastAsia="Calibri"/>
          <w:lang w:val="fr-FR"/>
        </w:rPr>
        <w:t xml:space="preserve">reconnaissance des mariages discriminatoires </w:t>
      </w:r>
      <w:r w:rsidR="000529DC">
        <w:rPr>
          <w:rFonts w:eastAsia="Calibri"/>
          <w:lang w:val="fr-FR"/>
        </w:rPr>
        <w:t>à l’égard d</w:t>
      </w:r>
      <w:r w:rsidRPr="006F0F1B">
        <w:rPr>
          <w:rFonts w:eastAsia="Calibri"/>
          <w:lang w:val="fr-FR"/>
        </w:rPr>
        <w:t>es femmes et/ou qui n’assurent pas l</w:t>
      </w:r>
      <w:r w:rsidR="00BC7BEE">
        <w:rPr>
          <w:rFonts w:eastAsia="Calibri"/>
          <w:lang w:val="fr-FR"/>
        </w:rPr>
        <w:t>’</w:t>
      </w:r>
      <w:r w:rsidRPr="006F0F1B">
        <w:rPr>
          <w:rFonts w:eastAsia="Calibri"/>
          <w:lang w:val="fr-FR"/>
        </w:rPr>
        <w:t xml:space="preserve">égalité et la justice aux femmes, quel que soit le système juridique, la religion, la coutume ou la tradition. </w:t>
      </w:r>
      <w:r w:rsidR="00134DB6">
        <w:rPr>
          <w:rFonts w:eastAsia="Calibri"/>
          <w:lang w:val="fr-FR"/>
        </w:rPr>
        <w:t xml:space="preserve">Il s’agit, entre autres, des </w:t>
      </w:r>
      <w:r w:rsidRPr="006F0F1B">
        <w:rPr>
          <w:rFonts w:eastAsia="Calibri"/>
          <w:lang w:val="fr-FR"/>
        </w:rPr>
        <w:t>mariage</w:t>
      </w:r>
      <w:r w:rsidR="00134DB6">
        <w:rPr>
          <w:rFonts w:eastAsia="Calibri"/>
          <w:lang w:val="fr-FR"/>
        </w:rPr>
        <w:t>s</w:t>
      </w:r>
      <w:r w:rsidRPr="006F0F1B">
        <w:rPr>
          <w:rFonts w:eastAsia="Calibri"/>
          <w:lang w:val="fr-FR"/>
        </w:rPr>
        <w:t xml:space="preserve"> précoce</w:t>
      </w:r>
      <w:r w:rsidR="00134DB6">
        <w:rPr>
          <w:rFonts w:eastAsia="Calibri"/>
          <w:lang w:val="fr-FR"/>
        </w:rPr>
        <w:t>s</w:t>
      </w:r>
      <w:r w:rsidRPr="006F0F1B">
        <w:rPr>
          <w:rFonts w:eastAsia="Calibri"/>
          <w:lang w:val="fr-FR"/>
        </w:rPr>
        <w:t xml:space="preserve"> et/ou forcé</w:t>
      </w:r>
      <w:r w:rsidR="00134DB6">
        <w:rPr>
          <w:rFonts w:eastAsia="Calibri"/>
          <w:lang w:val="fr-FR"/>
        </w:rPr>
        <w:t>s</w:t>
      </w:r>
      <w:r w:rsidRPr="006F0F1B">
        <w:rPr>
          <w:rFonts w:eastAsia="Calibri"/>
          <w:lang w:val="fr-FR"/>
        </w:rPr>
        <w:t xml:space="preserve">, </w:t>
      </w:r>
      <w:r w:rsidR="00134DB6">
        <w:rPr>
          <w:rFonts w:eastAsia="Calibri"/>
          <w:lang w:val="fr-FR"/>
        </w:rPr>
        <w:t xml:space="preserve">des </w:t>
      </w:r>
      <w:r w:rsidRPr="006F0F1B">
        <w:rPr>
          <w:rFonts w:eastAsia="Calibri"/>
          <w:lang w:val="fr-FR"/>
        </w:rPr>
        <w:t>mariage</w:t>
      </w:r>
      <w:r w:rsidR="00134DB6">
        <w:rPr>
          <w:rFonts w:eastAsia="Calibri"/>
          <w:lang w:val="fr-FR"/>
        </w:rPr>
        <w:t>s</w:t>
      </w:r>
      <w:r w:rsidRPr="006F0F1B">
        <w:rPr>
          <w:rFonts w:eastAsia="Calibri"/>
          <w:lang w:val="fr-FR"/>
        </w:rPr>
        <w:t xml:space="preserve"> temporaire</w:t>
      </w:r>
      <w:r w:rsidR="00134DB6">
        <w:rPr>
          <w:rFonts w:eastAsia="Calibri"/>
          <w:lang w:val="fr-FR"/>
        </w:rPr>
        <w:t>s</w:t>
      </w:r>
      <w:r w:rsidRPr="006F0F1B">
        <w:rPr>
          <w:rFonts w:eastAsia="Calibri"/>
          <w:lang w:val="fr-FR"/>
        </w:rPr>
        <w:t xml:space="preserve"> et </w:t>
      </w:r>
      <w:r w:rsidR="00134DB6">
        <w:rPr>
          <w:rFonts w:eastAsia="Calibri"/>
          <w:lang w:val="fr-FR"/>
        </w:rPr>
        <w:t xml:space="preserve">de </w:t>
      </w:r>
      <w:r w:rsidRPr="006F0F1B">
        <w:rPr>
          <w:rFonts w:eastAsia="Calibri"/>
          <w:lang w:val="fr-FR"/>
        </w:rPr>
        <w:t xml:space="preserve">la </w:t>
      </w:r>
      <w:r w:rsidRPr="00161D01">
        <w:rPr>
          <w:rFonts w:eastAsia="Calibri"/>
          <w:lang w:val="fr-FR"/>
        </w:rPr>
        <w:t>polygamie</w:t>
      </w:r>
      <w:r w:rsidRPr="006F0F1B">
        <w:rPr>
          <w:rFonts w:eastAsia="Calibri"/>
          <w:lang w:val="fr-FR"/>
        </w:rPr>
        <w:t xml:space="preserve">. Le Comité </w:t>
      </w:r>
      <w:r w:rsidR="00F45127">
        <w:rPr>
          <w:rFonts w:eastAsia="Calibri"/>
          <w:lang w:val="fr-FR"/>
        </w:rPr>
        <w:t xml:space="preserve">pour l’élimination de la discrimination à l’égard des femmes </w:t>
      </w:r>
      <w:r w:rsidRPr="006F0F1B">
        <w:rPr>
          <w:rFonts w:eastAsia="Calibri"/>
          <w:lang w:val="fr-FR"/>
        </w:rPr>
        <w:t>et le Comité des droits de l</w:t>
      </w:r>
      <w:r w:rsidR="00BC7BEE">
        <w:rPr>
          <w:rFonts w:eastAsia="Calibri"/>
          <w:lang w:val="fr-FR"/>
        </w:rPr>
        <w:t>’</w:t>
      </w:r>
      <w:r w:rsidRPr="006F0F1B">
        <w:rPr>
          <w:rFonts w:eastAsia="Calibri"/>
          <w:lang w:val="fr-FR"/>
        </w:rPr>
        <w:t>homme</w:t>
      </w:r>
      <w:r w:rsidRPr="006F0F1B">
        <w:rPr>
          <w:rStyle w:val="FootnoteReference"/>
          <w:rFonts w:eastAsia="Calibri"/>
          <w:lang w:val="fr-FR"/>
        </w:rPr>
        <w:footnoteReference w:id="21"/>
      </w:r>
      <w:r w:rsidRPr="006F0F1B">
        <w:rPr>
          <w:rFonts w:eastAsia="Calibri"/>
          <w:lang w:val="fr-FR"/>
        </w:rPr>
        <w:t xml:space="preserve"> ont recommandé que les États interdisent l</w:t>
      </w:r>
      <w:r w:rsidR="00096818">
        <w:rPr>
          <w:rFonts w:eastAsia="Calibri"/>
          <w:lang w:val="fr-FR"/>
        </w:rPr>
        <w:t xml:space="preserve">a </w:t>
      </w:r>
      <w:r w:rsidRPr="006F0F1B">
        <w:rPr>
          <w:rFonts w:eastAsia="Calibri"/>
          <w:lang w:val="fr-FR"/>
        </w:rPr>
        <w:t>polygam</w:t>
      </w:r>
      <w:r w:rsidR="00096818">
        <w:rPr>
          <w:rFonts w:eastAsia="Calibri"/>
          <w:lang w:val="fr-FR"/>
        </w:rPr>
        <w:t>i</w:t>
      </w:r>
      <w:r w:rsidRPr="006F0F1B">
        <w:rPr>
          <w:rFonts w:eastAsia="Calibri"/>
          <w:lang w:val="fr-FR"/>
        </w:rPr>
        <w:t xml:space="preserve">e comme étant </w:t>
      </w:r>
      <w:r w:rsidRPr="006F0F1B">
        <w:rPr>
          <w:rFonts w:eastAsia="Calibri"/>
          <w:color w:val="000000"/>
          <w:shd w:val="clear" w:color="auto" w:fill="FFFFFF"/>
          <w:lang w:val="fr-FR"/>
        </w:rPr>
        <w:t>contraire à l</w:t>
      </w:r>
      <w:r w:rsidR="00BC7BEE">
        <w:rPr>
          <w:rFonts w:eastAsia="Calibri"/>
          <w:color w:val="000000"/>
          <w:shd w:val="clear" w:color="auto" w:fill="FFFFFF"/>
          <w:lang w:val="fr-FR"/>
        </w:rPr>
        <w:t>’</w:t>
      </w:r>
      <w:r w:rsidRPr="006F0F1B">
        <w:rPr>
          <w:rFonts w:eastAsia="Calibri"/>
          <w:color w:val="000000"/>
          <w:shd w:val="clear" w:color="auto" w:fill="FFFFFF"/>
          <w:lang w:val="fr-FR"/>
        </w:rPr>
        <w:t>égalité des sexes et pouvant avoir de graves conséquences affectives et financières pour la femme et les personnes à sa charge</w:t>
      </w:r>
      <w:r w:rsidRPr="006F0F1B">
        <w:rPr>
          <w:rStyle w:val="FootnoteReference"/>
          <w:rFonts w:eastAsia="Calibri"/>
          <w:lang w:val="fr-FR"/>
        </w:rPr>
        <w:footnoteReference w:id="22"/>
      </w:r>
      <w:r w:rsidRPr="006F0F1B">
        <w:rPr>
          <w:rFonts w:eastAsia="Calibri"/>
          <w:lang w:val="fr-FR"/>
        </w:rPr>
        <w:t xml:space="preserve">. Cependant, il existe des codes civils nationaux qui légalisent le mariage polygame, le mariage précoce et/ou forcé et le mariage temporaire. Le </w:t>
      </w:r>
      <w:r w:rsidR="00736F92">
        <w:rPr>
          <w:rFonts w:eastAsia="Calibri"/>
          <w:lang w:val="fr-FR"/>
        </w:rPr>
        <w:t>Groupe de travail</w:t>
      </w:r>
      <w:r w:rsidRPr="006F0F1B">
        <w:rPr>
          <w:rFonts w:eastAsia="Calibri"/>
          <w:lang w:val="fr-FR"/>
        </w:rPr>
        <w:t xml:space="preserve"> préconise </w:t>
      </w:r>
      <w:r w:rsidRPr="00250230">
        <w:rPr>
          <w:rFonts w:eastAsia="Calibri"/>
          <w:lang w:val="fr-FR"/>
        </w:rPr>
        <w:t>l’abrogation de</w:t>
      </w:r>
      <w:r w:rsidR="005F2F66">
        <w:rPr>
          <w:rFonts w:eastAsia="Calibri"/>
          <w:lang w:val="fr-FR"/>
        </w:rPr>
        <w:t>sdits</w:t>
      </w:r>
      <w:r w:rsidRPr="00250230">
        <w:rPr>
          <w:rFonts w:eastAsia="Calibri"/>
          <w:lang w:val="fr-FR"/>
        </w:rPr>
        <w:t xml:space="preserve"> </w:t>
      </w:r>
      <w:r w:rsidRPr="002F6A03">
        <w:rPr>
          <w:rFonts w:eastAsia="Calibri"/>
          <w:lang w:val="fr-FR"/>
        </w:rPr>
        <w:t xml:space="preserve">codes. </w:t>
      </w:r>
      <w:r w:rsidR="005F2F66" w:rsidRPr="002F6A03">
        <w:rPr>
          <w:rFonts w:eastAsia="Calibri"/>
          <w:lang w:val="fr-FR"/>
        </w:rPr>
        <w:t xml:space="preserve">Parmi </w:t>
      </w:r>
      <w:r w:rsidRPr="002F6A03">
        <w:rPr>
          <w:rFonts w:eastAsia="Calibri"/>
          <w:lang w:val="fr-FR"/>
        </w:rPr>
        <w:t xml:space="preserve">les pays </w:t>
      </w:r>
      <w:r w:rsidR="005F2F66" w:rsidRPr="00273ABE">
        <w:rPr>
          <w:rFonts w:eastAsia="Calibri"/>
          <w:lang w:val="fr-FR"/>
        </w:rPr>
        <w:t xml:space="preserve">qui </w:t>
      </w:r>
      <w:r w:rsidR="002E0F95" w:rsidRPr="00273ABE">
        <w:rPr>
          <w:rFonts w:eastAsia="Calibri"/>
          <w:lang w:val="fr-FR"/>
        </w:rPr>
        <w:t>établissent</w:t>
      </w:r>
      <w:r w:rsidR="005F2F66" w:rsidRPr="00273ABE">
        <w:rPr>
          <w:rFonts w:eastAsia="Calibri"/>
          <w:lang w:val="fr-FR"/>
        </w:rPr>
        <w:t xml:space="preserve"> </w:t>
      </w:r>
      <w:r w:rsidR="002E0F95" w:rsidRPr="00273ABE">
        <w:rPr>
          <w:rFonts w:eastAsia="Calibri"/>
          <w:lang w:val="fr-FR"/>
        </w:rPr>
        <w:t>lesdits</w:t>
      </w:r>
      <w:r w:rsidRPr="002F6A03">
        <w:rPr>
          <w:rFonts w:eastAsia="Calibri"/>
          <w:lang w:val="fr-FR"/>
        </w:rPr>
        <w:t xml:space="preserve"> mariages</w:t>
      </w:r>
      <w:r w:rsidR="002E0F95" w:rsidRPr="00273ABE">
        <w:rPr>
          <w:rFonts w:eastAsia="Calibri"/>
          <w:lang w:val="fr-FR"/>
        </w:rPr>
        <w:t xml:space="preserve"> </w:t>
      </w:r>
      <w:r w:rsidRPr="002F6A03">
        <w:rPr>
          <w:rFonts w:eastAsia="Calibri"/>
          <w:lang w:val="fr-FR"/>
        </w:rPr>
        <w:t xml:space="preserve">comme discriminatoires </w:t>
      </w:r>
      <w:r w:rsidR="000529DC" w:rsidRPr="002F6A03">
        <w:rPr>
          <w:rFonts w:eastAsia="Calibri"/>
          <w:lang w:val="fr-FR"/>
        </w:rPr>
        <w:t>à l’égard d</w:t>
      </w:r>
      <w:r w:rsidRPr="002F6A03">
        <w:rPr>
          <w:rFonts w:eastAsia="Calibri"/>
          <w:lang w:val="fr-FR"/>
        </w:rPr>
        <w:t xml:space="preserve">es femmes et les filles, certains </w:t>
      </w:r>
      <w:r w:rsidR="003B088C" w:rsidRPr="00273ABE">
        <w:rPr>
          <w:rFonts w:eastAsia="Calibri"/>
          <w:lang w:val="fr-FR"/>
        </w:rPr>
        <w:t>qualifient</w:t>
      </w:r>
      <w:r w:rsidR="005F2F66" w:rsidRPr="00273ABE">
        <w:rPr>
          <w:rFonts w:eastAsia="Calibri"/>
          <w:lang w:val="fr-FR"/>
        </w:rPr>
        <w:t xml:space="preserve"> ces mariages </w:t>
      </w:r>
      <w:r w:rsidR="00815375" w:rsidRPr="00273ABE">
        <w:rPr>
          <w:rFonts w:eastAsia="Calibri"/>
          <w:lang w:val="fr-FR"/>
        </w:rPr>
        <w:t xml:space="preserve">comme </w:t>
      </w:r>
      <w:r w:rsidRPr="002F6A03">
        <w:rPr>
          <w:rFonts w:eastAsia="Calibri"/>
          <w:lang w:val="fr-FR"/>
        </w:rPr>
        <w:t xml:space="preserve">nuls et d’autres </w:t>
      </w:r>
      <w:r w:rsidR="00815375" w:rsidRPr="00273ABE">
        <w:rPr>
          <w:rFonts w:eastAsia="Calibri"/>
          <w:lang w:val="fr-FR"/>
        </w:rPr>
        <w:t xml:space="preserve">comme simplement </w:t>
      </w:r>
      <w:r w:rsidRPr="002F6A03">
        <w:rPr>
          <w:rFonts w:eastAsia="Calibri"/>
          <w:lang w:val="fr-FR"/>
        </w:rPr>
        <w:t>annulables.</w:t>
      </w:r>
      <w:r w:rsidRPr="006F0F1B">
        <w:rPr>
          <w:rFonts w:eastAsia="Calibri"/>
          <w:lang w:val="fr-FR"/>
        </w:rPr>
        <w:t xml:space="preserve"> Dans tous les cas, les droits de la femme ou </w:t>
      </w:r>
      <w:r w:rsidR="00DA21F0">
        <w:rPr>
          <w:rFonts w:eastAsia="Calibri"/>
          <w:lang w:val="fr-FR"/>
        </w:rPr>
        <w:t xml:space="preserve">de </w:t>
      </w:r>
      <w:r w:rsidRPr="006F0F1B">
        <w:rPr>
          <w:rFonts w:eastAsia="Calibri"/>
          <w:lang w:val="fr-FR"/>
        </w:rPr>
        <w:t xml:space="preserve">la fille doivent être protégés dans la solution juridique car elles demeurent les victimes d’un mariage préjudiciable. Leurs droits de subsistance, </w:t>
      </w:r>
      <w:r w:rsidR="00DA21F0">
        <w:rPr>
          <w:rFonts w:eastAsia="Calibri"/>
          <w:lang w:val="fr-FR"/>
        </w:rPr>
        <w:t xml:space="preserve">leurs droits </w:t>
      </w:r>
      <w:r w:rsidRPr="006F0F1B">
        <w:rPr>
          <w:rFonts w:eastAsia="Calibri"/>
          <w:lang w:val="fr-FR"/>
        </w:rPr>
        <w:t xml:space="preserve">à la propriété y compris à la terre et à </w:t>
      </w:r>
      <w:r w:rsidR="00DA21F0">
        <w:rPr>
          <w:rFonts w:eastAsia="Calibri"/>
          <w:lang w:val="fr-FR"/>
        </w:rPr>
        <w:t>l</w:t>
      </w:r>
      <w:r w:rsidR="00BC7BEE">
        <w:rPr>
          <w:rFonts w:eastAsia="Calibri"/>
          <w:lang w:val="fr-FR"/>
        </w:rPr>
        <w:t>’</w:t>
      </w:r>
      <w:r w:rsidRPr="006F0F1B">
        <w:rPr>
          <w:rFonts w:eastAsia="Calibri"/>
          <w:lang w:val="fr-FR"/>
        </w:rPr>
        <w:t>héritage, à un lieu d</w:t>
      </w:r>
      <w:r w:rsidR="00BC7BEE">
        <w:rPr>
          <w:rFonts w:eastAsia="Calibri"/>
          <w:lang w:val="fr-FR"/>
        </w:rPr>
        <w:t>’</w:t>
      </w:r>
      <w:r w:rsidRPr="006F0F1B">
        <w:rPr>
          <w:rFonts w:eastAsia="Calibri"/>
          <w:lang w:val="fr-FR"/>
        </w:rPr>
        <w:t>habitation, à la garde des enfants et au droit de se remarier doivent être garantis.</w:t>
      </w:r>
    </w:p>
    <w:p w:rsidR="006879D2" w:rsidRPr="006F0F1B" w:rsidRDefault="006879D2" w:rsidP="004D2E1B">
      <w:pPr>
        <w:pStyle w:val="SingleTxtG"/>
        <w:numPr>
          <w:ilvl w:val="0"/>
          <w:numId w:val="33"/>
        </w:numPr>
        <w:ind w:left="1134" w:firstLine="0"/>
        <w:rPr>
          <w:rFonts w:eastAsia="Calibri"/>
          <w:lang w:val="fr-FR"/>
        </w:rPr>
      </w:pPr>
      <w:r w:rsidRPr="006F0F1B">
        <w:rPr>
          <w:rFonts w:eastAsia="Calibri"/>
          <w:lang w:val="fr-FR"/>
        </w:rPr>
        <w:t xml:space="preserve">Le Comité </w:t>
      </w:r>
      <w:r w:rsidR="00F45127">
        <w:rPr>
          <w:rFonts w:eastAsia="Calibri"/>
          <w:lang w:val="fr-FR"/>
        </w:rPr>
        <w:t>pour l’élimination de la discrimination à l’égard des femmes</w:t>
      </w:r>
      <w:r w:rsidRPr="006F0F1B">
        <w:rPr>
          <w:rFonts w:eastAsia="Calibri"/>
          <w:lang w:val="fr-FR"/>
        </w:rPr>
        <w:t xml:space="preserve"> </w:t>
      </w:r>
      <w:r w:rsidR="004D2E1B" w:rsidRPr="00CE4AA4">
        <w:rPr>
          <w:rFonts w:eastAsia="Calibri"/>
          <w:lang w:val="fr-FR"/>
        </w:rPr>
        <w:t>préconise d’</w:t>
      </w:r>
      <w:r w:rsidRPr="00CE4AA4">
        <w:rPr>
          <w:rFonts w:eastAsia="Calibri"/>
          <w:lang w:val="fr-FR"/>
        </w:rPr>
        <w:t>interdi</w:t>
      </w:r>
      <w:r w:rsidR="004D2E1B" w:rsidRPr="00CE4AA4">
        <w:rPr>
          <w:rFonts w:eastAsia="Calibri"/>
          <w:lang w:val="fr-FR"/>
        </w:rPr>
        <w:t>re</w:t>
      </w:r>
      <w:r w:rsidRPr="00CE4AA4">
        <w:rPr>
          <w:rFonts w:eastAsia="Calibri"/>
          <w:lang w:val="fr-FR"/>
        </w:rPr>
        <w:t xml:space="preserve"> et </w:t>
      </w:r>
      <w:r w:rsidR="004D2E1B" w:rsidRPr="00CE4AA4">
        <w:rPr>
          <w:rFonts w:eastAsia="Calibri"/>
          <w:lang w:val="fr-FR"/>
        </w:rPr>
        <w:t>d’</w:t>
      </w:r>
      <w:r w:rsidRPr="00CE4AA4">
        <w:rPr>
          <w:rFonts w:eastAsia="Calibri"/>
          <w:lang w:val="fr-FR"/>
        </w:rPr>
        <w:t>annule</w:t>
      </w:r>
      <w:r w:rsidR="004D2E1B" w:rsidRPr="00CE4AA4">
        <w:rPr>
          <w:rFonts w:eastAsia="Calibri"/>
          <w:lang w:val="fr-FR"/>
        </w:rPr>
        <w:t>r</w:t>
      </w:r>
      <w:r w:rsidRPr="00CE4AA4">
        <w:rPr>
          <w:rFonts w:eastAsia="Calibri"/>
          <w:lang w:val="fr-FR"/>
        </w:rPr>
        <w:t xml:space="preserve"> ces formes de mariage</w:t>
      </w:r>
      <w:r w:rsidR="002E0F95" w:rsidRPr="00CE4AA4">
        <w:rPr>
          <w:rFonts w:eastAsia="Calibri"/>
          <w:lang w:val="fr-FR"/>
        </w:rPr>
        <w:t>s</w:t>
      </w:r>
      <w:r w:rsidRPr="00CE4AA4">
        <w:rPr>
          <w:rFonts w:eastAsia="Calibri"/>
          <w:lang w:val="fr-FR"/>
        </w:rPr>
        <w:t xml:space="preserve"> qui violent la dignité des femmes, </w:t>
      </w:r>
      <w:r w:rsidR="004D2E1B" w:rsidRPr="00CE4AA4">
        <w:rPr>
          <w:rFonts w:eastAsia="Calibri"/>
          <w:lang w:val="fr-FR"/>
        </w:rPr>
        <w:t>et prévoit</w:t>
      </w:r>
      <w:r w:rsidR="004D2E1B">
        <w:rPr>
          <w:rFonts w:eastAsia="Calibri"/>
          <w:lang w:val="fr-FR"/>
        </w:rPr>
        <w:t xml:space="preserve"> </w:t>
      </w:r>
      <w:r w:rsidRPr="006F0F1B">
        <w:rPr>
          <w:rFonts w:eastAsia="Calibri"/>
          <w:lang w:val="fr-FR"/>
        </w:rPr>
        <w:t xml:space="preserve">des précautions et des garanties pour protéger les droits des femmes et des filles vivant dans </w:t>
      </w:r>
      <w:r w:rsidRPr="00815375">
        <w:rPr>
          <w:rFonts w:eastAsia="Calibri"/>
          <w:lang w:val="fr-FR"/>
        </w:rPr>
        <w:lastRenderedPageBreak/>
        <w:t>ce type de familles</w:t>
      </w:r>
      <w:r w:rsidRPr="006F0F1B">
        <w:rPr>
          <w:rStyle w:val="FootnoteReference"/>
          <w:rFonts w:eastAsia="Calibri"/>
          <w:lang w:val="fr-FR"/>
        </w:rPr>
        <w:footnoteReference w:id="23"/>
      </w:r>
      <w:r w:rsidRPr="006F0F1B">
        <w:rPr>
          <w:rFonts w:eastAsia="Calibri"/>
          <w:lang w:val="fr-FR"/>
        </w:rPr>
        <w:t>. L’invalidité d’un mariage précoce permet de protéger les conjoints mineurs en leur rendant un statut de célibataire, de sorte qu’ils soient reconnus comme n’ayant jamais été marié (plutôt que divorcé), et en annulant toute transaction financière ou de propriété liée à ce mariage</w:t>
      </w:r>
      <w:r w:rsidRPr="006F0F1B">
        <w:rPr>
          <w:rStyle w:val="FootnoteReference"/>
          <w:rFonts w:eastAsia="Calibri"/>
          <w:lang w:val="fr-FR"/>
        </w:rPr>
        <w:footnoteReference w:id="24"/>
      </w:r>
      <w:r w:rsidRPr="006F0F1B">
        <w:rPr>
          <w:rFonts w:eastAsia="Calibri"/>
          <w:lang w:val="fr-FR"/>
        </w:rPr>
        <w:t>.</w:t>
      </w:r>
    </w:p>
    <w:p w:rsidR="006879D2" w:rsidRPr="006F0F1B" w:rsidRDefault="006879D2" w:rsidP="006879D2">
      <w:pPr>
        <w:pStyle w:val="H23G"/>
        <w:rPr>
          <w:lang w:val="fr-FR"/>
        </w:rPr>
      </w:pPr>
      <w:bookmarkStart w:id="17" w:name="_Toc412190767"/>
      <w:r w:rsidRPr="006F0F1B">
        <w:rPr>
          <w:lang w:val="fr-FR"/>
        </w:rPr>
        <w:tab/>
        <w:t>2.</w:t>
      </w:r>
      <w:r w:rsidRPr="006F0F1B">
        <w:rPr>
          <w:lang w:val="fr-FR"/>
        </w:rPr>
        <w:tab/>
        <w:t>Le droit à l’égalité des femmes dans la famille</w:t>
      </w:r>
      <w:bookmarkEnd w:id="17"/>
    </w:p>
    <w:p w:rsidR="006879D2" w:rsidRPr="006F0F1B" w:rsidRDefault="006879D2" w:rsidP="00862FBF">
      <w:pPr>
        <w:pStyle w:val="SingleTxtG"/>
        <w:numPr>
          <w:ilvl w:val="0"/>
          <w:numId w:val="33"/>
        </w:numPr>
        <w:ind w:left="1134" w:firstLine="0"/>
        <w:rPr>
          <w:rFonts w:eastAsia="Calibri"/>
          <w:lang w:val="fr-FR"/>
        </w:rPr>
      </w:pPr>
      <w:r w:rsidRPr="006F0F1B">
        <w:rPr>
          <w:rFonts w:eastAsia="Calibri"/>
          <w:lang w:val="fr-FR"/>
        </w:rPr>
        <w:t>Toute définition juridique de la famille doit intégrer le droit à l</w:t>
      </w:r>
      <w:r w:rsidR="00BC7BEE">
        <w:rPr>
          <w:rFonts w:eastAsia="Calibri"/>
          <w:lang w:val="fr-FR"/>
        </w:rPr>
        <w:t>’</w:t>
      </w:r>
      <w:r w:rsidRPr="006F0F1B">
        <w:rPr>
          <w:rFonts w:eastAsia="Calibri"/>
          <w:lang w:val="fr-FR"/>
        </w:rPr>
        <w:t xml:space="preserve">égalité, </w:t>
      </w:r>
      <w:r w:rsidRPr="006F0F1B">
        <w:rPr>
          <w:rFonts w:eastAsia="Calibri"/>
          <w:i/>
          <w:lang w:val="fr-FR"/>
        </w:rPr>
        <w:t>de jure</w:t>
      </w:r>
      <w:r w:rsidRPr="006F0F1B">
        <w:rPr>
          <w:rFonts w:eastAsia="Calibri"/>
          <w:lang w:val="fr-FR"/>
        </w:rPr>
        <w:t xml:space="preserve"> et </w:t>
      </w:r>
      <w:r w:rsidRPr="00273ABE">
        <w:rPr>
          <w:rFonts w:eastAsia="Calibri"/>
          <w:iCs/>
          <w:lang w:val="fr-FR"/>
        </w:rPr>
        <w:t>de</w:t>
      </w:r>
      <w:r w:rsidR="004B765B">
        <w:rPr>
          <w:rFonts w:eastAsia="Calibri"/>
          <w:iCs/>
          <w:lang w:val="fr-FR"/>
        </w:rPr>
        <w:t> </w:t>
      </w:r>
      <w:r w:rsidRPr="00273ABE">
        <w:rPr>
          <w:rFonts w:eastAsia="Calibri"/>
          <w:iCs/>
          <w:lang w:val="fr-FR"/>
        </w:rPr>
        <w:t>facto</w:t>
      </w:r>
      <w:r w:rsidRPr="006F0F1B">
        <w:rPr>
          <w:rFonts w:eastAsia="Calibri"/>
          <w:lang w:val="fr-FR"/>
        </w:rPr>
        <w:t xml:space="preserve">, des femmes et des filles au sein de la famille. La pleine égalité entre les femmes et les hommes et, entre les filles et les garçons, est exigée par le </w:t>
      </w:r>
      <w:r w:rsidR="00161EB5" w:rsidRPr="006F0F1B">
        <w:rPr>
          <w:rFonts w:eastAsia="Calibri"/>
          <w:lang w:val="fr-FR"/>
        </w:rPr>
        <w:t xml:space="preserve">droit international relatif aux droits de l’homme </w:t>
      </w:r>
      <w:r w:rsidRPr="006F0F1B">
        <w:rPr>
          <w:rFonts w:eastAsia="Calibri"/>
          <w:lang w:val="fr-FR"/>
        </w:rPr>
        <w:t xml:space="preserve">et elle constitue un droit des femmes essentiel pour le bien-être de la famille et pour la société dans son ensemble. </w:t>
      </w:r>
    </w:p>
    <w:p w:rsidR="006879D2" w:rsidRPr="006F0F1B" w:rsidRDefault="006879D2" w:rsidP="00754C14">
      <w:pPr>
        <w:pStyle w:val="SingleTxtG"/>
        <w:numPr>
          <w:ilvl w:val="0"/>
          <w:numId w:val="33"/>
        </w:numPr>
        <w:ind w:left="1134" w:firstLine="0"/>
        <w:rPr>
          <w:rFonts w:eastAsia="Calibri"/>
          <w:lang w:val="fr-FR"/>
        </w:rPr>
      </w:pPr>
      <w:r w:rsidRPr="006F0F1B">
        <w:rPr>
          <w:rFonts w:eastAsia="Calibri"/>
          <w:lang w:val="fr-FR"/>
        </w:rPr>
        <w:t xml:space="preserve">Le </w:t>
      </w:r>
      <w:r w:rsidR="00161EB5" w:rsidRPr="006F0F1B">
        <w:rPr>
          <w:rFonts w:eastAsia="Calibri"/>
          <w:lang w:val="fr-FR"/>
        </w:rPr>
        <w:t>droit international relatif aux droits de l’homme</w:t>
      </w:r>
      <w:r w:rsidRPr="006F0F1B">
        <w:rPr>
          <w:rFonts w:eastAsia="Calibri"/>
          <w:lang w:val="fr-FR"/>
        </w:rPr>
        <w:t xml:space="preserve"> garantit l’égalité des sexes dans la famille, y </w:t>
      </w:r>
      <w:r w:rsidRPr="00815375">
        <w:rPr>
          <w:rFonts w:eastAsia="Calibri"/>
          <w:lang w:val="fr-FR"/>
        </w:rPr>
        <w:t xml:space="preserve">compris au </w:t>
      </w:r>
      <w:r w:rsidR="00815375" w:rsidRPr="00273ABE">
        <w:rPr>
          <w:rFonts w:eastAsia="Calibri"/>
          <w:lang w:val="fr-FR"/>
        </w:rPr>
        <w:t xml:space="preserve">regard du </w:t>
      </w:r>
      <w:r w:rsidRPr="00815375">
        <w:rPr>
          <w:rFonts w:eastAsia="Calibri"/>
          <w:lang w:val="fr-FR"/>
        </w:rPr>
        <w:t>mariage, d</w:t>
      </w:r>
      <w:r w:rsidR="00815375" w:rsidRPr="00815375">
        <w:rPr>
          <w:rFonts w:eastAsia="Calibri"/>
          <w:lang w:val="fr-FR"/>
        </w:rPr>
        <w:t>urant</w:t>
      </w:r>
      <w:r w:rsidRPr="006F0F1B">
        <w:rPr>
          <w:rFonts w:eastAsia="Calibri"/>
          <w:lang w:val="fr-FR"/>
        </w:rPr>
        <w:t xml:space="preserve"> le mariage et </w:t>
      </w:r>
      <w:r w:rsidR="00815375">
        <w:rPr>
          <w:rFonts w:eastAsia="Calibri"/>
          <w:lang w:val="fr-FR"/>
        </w:rPr>
        <w:t>lors de</w:t>
      </w:r>
      <w:r w:rsidRPr="006F0F1B">
        <w:rPr>
          <w:rFonts w:eastAsia="Calibri"/>
          <w:lang w:val="fr-FR"/>
        </w:rPr>
        <w:t xml:space="preserve"> sa dissolution, tels qu’énoncés dans la </w:t>
      </w:r>
      <w:r w:rsidR="00161EB5" w:rsidRPr="006F0F1B">
        <w:rPr>
          <w:rFonts w:eastAsia="Calibri"/>
          <w:lang w:val="fr-FR"/>
        </w:rPr>
        <w:t>Déclaration universelle des droits de l’homme</w:t>
      </w:r>
      <w:r w:rsidRPr="006F0F1B">
        <w:rPr>
          <w:rFonts w:eastAsia="Calibri"/>
          <w:lang w:val="fr-FR"/>
        </w:rPr>
        <w:t xml:space="preserve"> </w:t>
      </w:r>
      <w:r w:rsidR="00754C14">
        <w:rPr>
          <w:rFonts w:eastAsia="Calibri"/>
          <w:lang w:val="fr-FR"/>
        </w:rPr>
        <w:t xml:space="preserve">(art. 16) </w:t>
      </w:r>
      <w:r w:rsidRPr="006F0F1B">
        <w:rPr>
          <w:rFonts w:eastAsia="Calibri"/>
          <w:lang w:val="fr-FR"/>
        </w:rPr>
        <w:t xml:space="preserve">et le Pacte </w:t>
      </w:r>
      <w:r w:rsidR="00147C81">
        <w:rPr>
          <w:rFonts w:eastAsia="Calibri"/>
          <w:lang w:val="fr-FR"/>
        </w:rPr>
        <w:t>i</w:t>
      </w:r>
      <w:r w:rsidRPr="006F0F1B">
        <w:rPr>
          <w:rFonts w:eastAsia="Calibri"/>
          <w:lang w:val="fr-FR"/>
        </w:rPr>
        <w:t xml:space="preserve">nternational relatif aux </w:t>
      </w:r>
      <w:r w:rsidR="00147C81">
        <w:rPr>
          <w:rFonts w:eastAsia="Calibri"/>
          <w:lang w:val="fr-FR"/>
        </w:rPr>
        <w:t>d</w:t>
      </w:r>
      <w:r w:rsidRPr="006F0F1B">
        <w:rPr>
          <w:rFonts w:eastAsia="Calibri"/>
          <w:lang w:val="fr-FR"/>
        </w:rPr>
        <w:t xml:space="preserve">roits </w:t>
      </w:r>
      <w:r w:rsidR="00147C81">
        <w:rPr>
          <w:rFonts w:eastAsia="Calibri"/>
          <w:lang w:val="fr-FR"/>
        </w:rPr>
        <w:t>c</w:t>
      </w:r>
      <w:r w:rsidRPr="006F0F1B">
        <w:rPr>
          <w:rFonts w:eastAsia="Calibri"/>
          <w:lang w:val="fr-FR"/>
        </w:rPr>
        <w:t xml:space="preserve">ivils et </w:t>
      </w:r>
      <w:r w:rsidR="00147C81">
        <w:rPr>
          <w:rFonts w:eastAsia="Calibri"/>
          <w:lang w:val="fr-FR"/>
        </w:rPr>
        <w:t>p</w:t>
      </w:r>
      <w:r w:rsidRPr="006F0F1B">
        <w:rPr>
          <w:rFonts w:eastAsia="Calibri"/>
          <w:lang w:val="fr-FR"/>
        </w:rPr>
        <w:t>olitiques</w:t>
      </w:r>
      <w:r w:rsidR="00754C14">
        <w:rPr>
          <w:rFonts w:eastAsia="Calibri"/>
          <w:lang w:val="fr-FR"/>
        </w:rPr>
        <w:t xml:space="preserve"> (art. 23)</w:t>
      </w:r>
      <w:r w:rsidRPr="006F0F1B">
        <w:rPr>
          <w:rFonts w:eastAsia="Calibri"/>
          <w:lang w:val="fr-FR"/>
        </w:rPr>
        <w:t xml:space="preserve">. La Convention </w:t>
      </w:r>
      <w:r w:rsidR="00F45127">
        <w:rPr>
          <w:rFonts w:eastAsia="Calibri"/>
          <w:lang w:val="fr-FR"/>
        </w:rPr>
        <w:t xml:space="preserve">sur l’élimination de toutes les formes de discrimination à l’égard des </w:t>
      </w:r>
      <w:r w:rsidR="00F45127" w:rsidRPr="00DA64F5">
        <w:rPr>
          <w:rFonts w:eastAsia="Calibri"/>
          <w:lang w:val="fr-FR"/>
        </w:rPr>
        <w:t>femmes</w:t>
      </w:r>
      <w:r w:rsidRPr="00DA64F5">
        <w:rPr>
          <w:rFonts w:eastAsia="Calibri"/>
          <w:lang w:val="fr-FR"/>
        </w:rPr>
        <w:t xml:space="preserve"> établit l’obligation des </w:t>
      </w:r>
      <w:r w:rsidR="00FA37AB" w:rsidRPr="00DA64F5">
        <w:rPr>
          <w:rFonts w:eastAsia="Calibri"/>
          <w:lang w:val="fr-FR"/>
        </w:rPr>
        <w:t>États</w:t>
      </w:r>
      <w:r w:rsidRPr="00DA64F5">
        <w:rPr>
          <w:rFonts w:eastAsia="Calibri"/>
          <w:lang w:val="fr-FR"/>
        </w:rPr>
        <w:t xml:space="preserve"> à assurer l’égalité des sexes dans toutes les questions relatives au mariage et aux rapport</w:t>
      </w:r>
      <w:r w:rsidRPr="00E32163">
        <w:rPr>
          <w:rFonts w:eastAsia="Calibri"/>
          <w:lang w:val="fr-FR"/>
        </w:rPr>
        <w:t>s familiaux, y compris concernant la décision de se marier ou non</w:t>
      </w:r>
      <w:r w:rsidR="000F16DD" w:rsidRPr="00E73028">
        <w:rPr>
          <w:rFonts w:eastAsia="Calibri"/>
          <w:lang w:val="fr-FR"/>
        </w:rPr>
        <w:t>,</w:t>
      </w:r>
      <w:r w:rsidRPr="00E73028">
        <w:rPr>
          <w:rFonts w:eastAsia="Calibri"/>
          <w:lang w:val="fr-FR"/>
        </w:rPr>
        <w:t xml:space="preserve"> de choisir librement son conjoint, les mêmes </w:t>
      </w:r>
      <w:r w:rsidR="004B765B" w:rsidRPr="00E73028">
        <w:rPr>
          <w:rFonts w:eastAsia="Calibri"/>
          <w:lang w:val="fr-FR"/>
        </w:rPr>
        <w:t xml:space="preserve">droits et les mêmes </w:t>
      </w:r>
      <w:r w:rsidRPr="004D6249">
        <w:rPr>
          <w:rFonts w:eastAsia="Calibri"/>
          <w:lang w:val="fr-FR"/>
        </w:rPr>
        <w:t xml:space="preserve">responsabilités </w:t>
      </w:r>
      <w:r w:rsidRPr="00CD2281">
        <w:rPr>
          <w:rFonts w:eastAsia="Calibri"/>
          <w:lang w:val="fr-FR"/>
        </w:rPr>
        <w:t xml:space="preserve">en tant que parents et concernant la décision du nombre et de l’espacement des naissances, ainsi que les </w:t>
      </w:r>
      <w:r w:rsidR="004B765B" w:rsidRPr="00273ABE">
        <w:rPr>
          <w:rFonts w:eastAsia="Calibri"/>
          <w:lang w:val="fr-FR"/>
        </w:rPr>
        <w:t xml:space="preserve">mêmes </w:t>
      </w:r>
      <w:r w:rsidRPr="00DA64F5">
        <w:rPr>
          <w:rFonts w:eastAsia="Calibri"/>
          <w:lang w:val="fr-FR"/>
        </w:rPr>
        <w:t>droits personnels des époux</w:t>
      </w:r>
      <w:r w:rsidR="00754C14">
        <w:rPr>
          <w:rFonts w:eastAsia="Calibri"/>
          <w:lang w:val="fr-FR"/>
        </w:rPr>
        <w:t xml:space="preserve"> (art. 16)</w:t>
      </w:r>
      <w:r w:rsidRPr="00DA64F5">
        <w:rPr>
          <w:rFonts w:eastAsia="Calibri"/>
          <w:lang w:val="fr-FR"/>
        </w:rPr>
        <w:t>. De même, la Convention sur le consentement au mariage, l’âge minimum du mariage et l’enregistrement des mariages de 1962 précise</w:t>
      </w:r>
      <w:r w:rsidRPr="006F0F1B">
        <w:rPr>
          <w:rFonts w:eastAsia="Calibri"/>
          <w:lang w:val="fr-FR"/>
        </w:rPr>
        <w:t xml:space="preserve"> que les </w:t>
      </w:r>
      <w:r w:rsidR="00FA37AB" w:rsidRPr="00ED069E">
        <w:rPr>
          <w:rFonts w:eastAsia="Calibri"/>
          <w:lang w:val="fr-FR"/>
        </w:rPr>
        <w:t>États</w:t>
      </w:r>
      <w:r w:rsidRPr="006F0F1B">
        <w:rPr>
          <w:rFonts w:eastAsia="Calibri"/>
          <w:lang w:val="fr-FR"/>
        </w:rPr>
        <w:t xml:space="preserve"> ont pour obligation d’assurer l’égalité entre les sexes pour consentir au mariage</w:t>
      </w:r>
      <w:r w:rsidR="00661D91">
        <w:rPr>
          <w:rFonts w:eastAsia="Calibri"/>
          <w:lang w:val="fr-FR"/>
        </w:rPr>
        <w:t xml:space="preserve">, de spécifier </w:t>
      </w:r>
      <w:r w:rsidRPr="006F0F1B">
        <w:rPr>
          <w:rFonts w:eastAsia="Calibri"/>
          <w:lang w:val="fr-FR"/>
        </w:rPr>
        <w:t xml:space="preserve">un âge minimum légal </w:t>
      </w:r>
      <w:r w:rsidR="00661D91">
        <w:rPr>
          <w:rFonts w:eastAsia="Calibri"/>
          <w:lang w:val="fr-FR"/>
        </w:rPr>
        <w:t xml:space="preserve">pour le </w:t>
      </w:r>
      <w:r w:rsidR="00661D91" w:rsidRPr="006F0F1B">
        <w:rPr>
          <w:rFonts w:eastAsia="Calibri"/>
          <w:lang w:val="fr-FR"/>
        </w:rPr>
        <w:t xml:space="preserve">mariage </w:t>
      </w:r>
      <w:r w:rsidRPr="006F0F1B">
        <w:rPr>
          <w:rFonts w:eastAsia="Calibri"/>
          <w:lang w:val="fr-FR"/>
        </w:rPr>
        <w:t xml:space="preserve">et </w:t>
      </w:r>
      <w:r w:rsidR="00661D91">
        <w:rPr>
          <w:rFonts w:eastAsia="Calibri"/>
          <w:lang w:val="fr-FR"/>
        </w:rPr>
        <w:t>d’</w:t>
      </w:r>
      <w:r w:rsidRPr="006F0F1B">
        <w:rPr>
          <w:rFonts w:eastAsia="Calibri"/>
          <w:lang w:val="fr-FR"/>
        </w:rPr>
        <w:t>enregistr</w:t>
      </w:r>
      <w:r w:rsidR="00661D91">
        <w:rPr>
          <w:rFonts w:eastAsia="Calibri"/>
          <w:lang w:val="fr-FR"/>
        </w:rPr>
        <w:t>er les mariage</w:t>
      </w:r>
      <w:r w:rsidR="00D65BA5">
        <w:rPr>
          <w:rFonts w:eastAsia="Calibri"/>
          <w:lang w:val="fr-FR"/>
        </w:rPr>
        <w:t>s</w:t>
      </w:r>
      <w:r w:rsidR="00754C14">
        <w:rPr>
          <w:rFonts w:eastAsia="Calibri"/>
          <w:lang w:val="fr-FR"/>
        </w:rPr>
        <w:t xml:space="preserve"> (art. 1 à 3)</w:t>
      </w:r>
      <w:r w:rsidRPr="006F0F1B">
        <w:rPr>
          <w:rFonts w:eastAsia="Calibri"/>
          <w:lang w:val="fr-FR"/>
        </w:rPr>
        <w:t>.</w:t>
      </w:r>
      <w:r w:rsidR="002D54FB" w:rsidRPr="006F0F1B">
        <w:rPr>
          <w:rFonts w:eastAsia="Calibri"/>
          <w:lang w:val="fr-FR"/>
        </w:rPr>
        <w:t xml:space="preserve"> </w:t>
      </w:r>
    </w:p>
    <w:p w:rsidR="006879D2" w:rsidRPr="006F0F1B" w:rsidRDefault="006879D2" w:rsidP="00754C14">
      <w:pPr>
        <w:pStyle w:val="SingleTxtG"/>
        <w:numPr>
          <w:ilvl w:val="0"/>
          <w:numId w:val="33"/>
        </w:numPr>
        <w:ind w:left="1134" w:firstLine="0"/>
        <w:rPr>
          <w:rFonts w:eastAsia="Calibri"/>
          <w:lang w:val="fr-FR"/>
        </w:rPr>
      </w:pPr>
      <w:r w:rsidRPr="006F0F1B">
        <w:rPr>
          <w:rFonts w:eastAsia="Calibri"/>
          <w:lang w:val="fr-FR"/>
        </w:rPr>
        <w:t xml:space="preserve">Lorsque les normes régissant les relations familiales sont </w:t>
      </w:r>
      <w:r w:rsidR="00754C14">
        <w:rPr>
          <w:rFonts w:eastAsia="Calibri"/>
          <w:lang w:val="fr-FR"/>
        </w:rPr>
        <w:t>discriminatoires à l</w:t>
      </w:r>
      <w:r w:rsidR="00961CF9">
        <w:rPr>
          <w:rFonts w:eastAsia="Calibri"/>
          <w:lang w:val="fr-FR"/>
        </w:rPr>
        <w:t>’</w:t>
      </w:r>
      <w:r w:rsidR="00754C14">
        <w:rPr>
          <w:rFonts w:eastAsia="Calibri"/>
          <w:lang w:val="fr-FR"/>
        </w:rPr>
        <w:t>égard des</w:t>
      </w:r>
      <w:r w:rsidRPr="006F0F1B">
        <w:rPr>
          <w:rFonts w:eastAsia="Calibri"/>
          <w:lang w:val="fr-FR"/>
        </w:rPr>
        <w:t xml:space="preserve"> femmes, cela constitue une violation du </w:t>
      </w:r>
      <w:r w:rsidR="00161EB5" w:rsidRPr="006F0F1B">
        <w:rPr>
          <w:rFonts w:eastAsia="Calibri"/>
          <w:lang w:val="fr-FR"/>
        </w:rPr>
        <w:t>droit internationa</w:t>
      </w:r>
      <w:r w:rsidR="00161EB5">
        <w:rPr>
          <w:rFonts w:eastAsia="Calibri"/>
          <w:lang w:val="fr-FR"/>
        </w:rPr>
        <w:t>l relatif aux droits de l’homme</w:t>
      </w:r>
      <w:r w:rsidRPr="006F0F1B">
        <w:rPr>
          <w:rFonts w:eastAsia="Calibri"/>
          <w:lang w:val="fr-FR"/>
        </w:rPr>
        <w:t>. En</w:t>
      </w:r>
      <w:r w:rsidR="00D65BA5">
        <w:rPr>
          <w:rFonts w:eastAsia="Calibri"/>
          <w:lang w:val="fr-FR"/>
        </w:rPr>
        <w:t> </w:t>
      </w:r>
      <w:r w:rsidRPr="006F0F1B">
        <w:rPr>
          <w:rFonts w:eastAsia="Calibri"/>
          <w:lang w:val="fr-FR"/>
        </w:rPr>
        <w:t>outre, des considérations liées à la protection et au renforcement de la famille ne peuvent pas être utilisées pour justifier des formes de famille qui ne parviennent pas à répondre à l</w:t>
      </w:r>
      <w:r w:rsidR="00BC7BEE">
        <w:rPr>
          <w:rFonts w:eastAsia="Calibri"/>
          <w:lang w:val="fr-FR"/>
        </w:rPr>
        <w:t>’</w:t>
      </w:r>
      <w:r w:rsidRPr="006F0F1B">
        <w:rPr>
          <w:rFonts w:eastAsia="Calibri"/>
          <w:lang w:val="fr-FR"/>
        </w:rPr>
        <w:t>exigence de l</w:t>
      </w:r>
      <w:r w:rsidR="00BC7BEE">
        <w:rPr>
          <w:rFonts w:eastAsia="Calibri"/>
          <w:lang w:val="fr-FR"/>
        </w:rPr>
        <w:t>’</w:t>
      </w:r>
      <w:r w:rsidRPr="006F0F1B">
        <w:rPr>
          <w:rFonts w:eastAsia="Calibri"/>
          <w:lang w:val="fr-FR"/>
        </w:rPr>
        <w:t>égalité entre les femmes et les hommes, et entre les filles et les garçons. Le manque d</w:t>
      </w:r>
      <w:r w:rsidR="00BC7BEE">
        <w:rPr>
          <w:rFonts w:eastAsia="Calibri"/>
          <w:lang w:val="fr-FR"/>
        </w:rPr>
        <w:t>’</w:t>
      </w:r>
      <w:r w:rsidRPr="006F0F1B">
        <w:rPr>
          <w:rFonts w:eastAsia="Calibri"/>
          <w:lang w:val="fr-FR"/>
        </w:rPr>
        <w:t xml:space="preserve">égalité dans ces formes de mariage conduit les femmes et les filles à vivre une situation discriminatoire, qui les rend vulnérables à la violence domestique. </w:t>
      </w:r>
    </w:p>
    <w:p w:rsidR="006879D2" w:rsidRPr="006F0F1B" w:rsidRDefault="006879D2" w:rsidP="00862FBF">
      <w:pPr>
        <w:pStyle w:val="SingleTxtG"/>
        <w:numPr>
          <w:ilvl w:val="0"/>
          <w:numId w:val="33"/>
        </w:numPr>
        <w:ind w:left="1134" w:firstLine="0"/>
        <w:rPr>
          <w:rFonts w:eastAsia="Calibri"/>
          <w:lang w:val="fr-FR"/>
        </w:rPr>
      </w:pPr>
      <w:r w:rsidRPr="00DA64F5">
        <w:rPr>
          <w:rFonts w:eastAsia="Calibri"/>
          <w:lang w:val="fr-FR"/>
        </w:rPr>
        <w:t>La famille est l</w:t>
      </w:r>
      <w:r w:rsidR="00BC7BEE" w:rsidRPr="00DA64F5">
        <w:rPr>
          <w:rFonts w:eastAsia="Calibri"/>
          <w:lang w:val="fr-FR"/>
        </w:rPr>
        <w:t>’</w:t>
      </w:r>
      <w:r w:rsidRPr="00DA64F5">
        <w:rPr>
          <w:rFonts w:eastAsia="Calibri"/>
          <w:lang w:val="fr-FR"/>
        </w:rPr>
        <w:t>unité de base de la société et</w:t>
      </w:r>
      <w:r w:rsidR="00625642" w:rsidRPr="00DA64F5">
        <w:rPr>
          <w:rFonts w:eastAsia="Calibri"/>
          <w:lang w:val="fr-FR"/>
        </w:rPr>
        <w:t>,</w:t>
      </w:r>
      <w:r w:rsidRPr="00DA64F5">
        <w:rPr>
          <w:rFonts w:eastAsia="Calibri"/>
          <w:lang w:val="fr-FR"/>
        </w:rPr>
        <w:t xml:space="preserve"> en tant que telle, elle doit être renforcée.</w:t>
      </w:r>
      <w:r w:rsidR="002D54FB" w:rsidRPr="00E32163">
        <w:rPr>
          <w:rFonts w:eastAsia="Calibri"/>
          <w:lang w:val="fr-FR"/>
        </w:rPr>
        <w:t xml:space="preserve"> </w:t>
      </w:r>
      <w:r w:rsidRPr="00E32163">
        <w:rPr>
          <w:rFonts w:eastAsia="Calibri"/>
          <w:lang w:val="fr-FR"/>
        </w:rPr>
        <w:t xml:space="preserve">Elle est en droit de recevoir une protection et un </w:t>
      </w:r>
      <w:r w:rsidR="00862FBF" w:rsidRPr="00E32163">
        <w:rPr>
          <w:rFonts w:eastAsia="Calibri"/>
          <w:lang w:val="fr-FR"/>
        </w:rPr>
        <w:t>appui</w:t>
      </w:r>
      <w:r w:rsidR="00862FBF">
        <w:rPr>
          <w:rFonts w:eastAsia="Calibri"/>
          <w:lang w:val="fr-FR"/>
        </w:rPr>
        <w:t xml:space="preserve"> </w:t>
      </w:r>
      <w:r w:rsidRPr="006F0F1B">
        <w:rPr>
          <w:rFonts w:eastAsia="Calibri"/>
          <w:lang w:val="fr-FR"/>
        </w:rPr>
        <w:t>entiers</w:t>
      </w:r>
      <w:r w:rsidRPr="006F0F1B">
        <w:rPr>
          <w:rStyle w:val="FootnoteReference"/>
          <w:rFonts w:eastAsia="Calibri"/>
          <w:lang w:val="fr-FR"/>
        </w:rPr>
        <w:footnoteReference w:id="25"/>
      </w:r>
      <w:r w:rsidRPr="006F0F1B">
        <w:rPr>
          <w:rFonts w:eastAsia="Calibri"/>
          <w:lang w:val="fr-FR"/>
        </w:rPr>
        <w:t xml:space="preserve">. </w:t>
      </w:r>
      <w:r w:rsidRPr="006F0F1B">
        <w:rPr>
          <w:rFonts w:eastAsia="Calibri"/>
          <w:color w:val="000000"/>
          <w:lang w:val="fr-FR"/>
        </w:rPr>
        <w:t>La famille joue un rôle clé dans le développement social, et dans la croissance et le bien-être des enfants, y</w:t>
      </w:r>
      <w:r w:rsidR="00862FBF">
        <w:rPr>
          <w:rFonts w:eastAsia="Calibri"/>
          <w:color w:val="000000"/>
          <w:lang w:val="fr-FR"/>
        </w:rPr>
        <w:t> </w:t>
      </w:r>
      <w:r w:rsidRPr="006F0F1B">
        <w:rPr>
          <w:rFonts w:eastAsia="Calibri"/>
          <w:color w:val="000000"/>
          <w:lang w:val="fr-FR"/>
        </w:rPr>
        <w:t xml:space="preserve">compris des filles. La capacité d’action et de participation des femmes et des filles aux divers aspects de la vie en société résulte en majeure partie du respect de leur droit à l’égalité avec les hommes et les garçons dans la famille. </w:t>
      </w:r>
      <w:r w:rsidRPr="006F0F1B">
        <w:rPr>
          <w:rFonts w:eastAsia="Calibri"/>
          <w:lang w:val="fr-FR"/>
        </w:rPr>
        <w:t xml:space="preserve">Dans ce contexte, le </w:t>
      </w:r>
      <w:r w:rsidR="00736F92">
        <w:rPr>
          <w:rFonts w:eastAsia="Calibri"/>
          <w:lang w:val="fr-FR"/>
        </w:rPr>
        <w:t>Groupe de travail</w:t>
      </w:r>
      <w:r w:rsidRPr="006F0F1B">
        <w:rPr>
          <w:rFonts w:eastAsia="Calibri"/>
          <w:lang w:val="fr-FR"/>
        </w:rPr>
        <w:t xml:space="preserve"> considère qu</w:t>
      </w:r>
      <w:r w:rsidR="00BC7BEE">
        <w:rPr>
          <w:rFonts w:eastAsia="Calibri"/>
          <w:lang w:val="fr-FR"/>
        </w:rPr>
        <w:t>’</w:t>
      </w:r>
      <w:r w:rsidRPr="006F0F1B">
        <w:rPr>
          <w:rFonts w:eastAsia="Calibri"/>
          <w:lang w:val="fr-FR"/>
        </w:rPr>
        <w:t xml:space="preserve">il est essentiel que la famille soit conçue </w:t>
      </w:r>
      <w:r w:rsidR="00862FBF">
        <w:rPr>
          <w:rFonts w:eastAsia="Calibri"/>
          <w:lang w:val="fr-FR"/>
        </w:rPr>
        <w:t xml:space="preserve">afin de </w:t>
      </w:r>
      <w:r w:rsidRPr="006F0F1B">
        <w:rPr>
          <w:rFonts w:eastAsia="Calibri"/>
          <w:lang w:val="fr-FR"/>
        </w:rPr>
        <w:t>reconna</w:t>
      </w:r>
      <w:r w:rsidR="00905BBE">
        <w:rPr>
          <w:rFonts w:eastAsia="Calibri"/>
          <w:lang w:val="fr-FR"/>
        </w:rPr>
        <w:t>î</w:t>
      </w:r>
      <w:r w:rsidRPr="006F0F1B">
        <w:rPr>
          <w:rFonts w:eastAsia="Calibri"/>
          <w:lang w:val="fr-FR"/>
        </w:rPr>
        <w:t>tre, respecter, protéger, remplir et promouvoir pleinement le droit à l</w:t>
      </w:r>
      <w:r w:rsidR="00BC7BEE">
        <w:rPr>
          <w:rFonts w:eastAsia="Calibri"/>
          <w:lang w:val="fr-FR"/>
        </w:rPr>
        <w:t>’</w:t>
      </w:r>
      <w:r w:rsidRPr="006F0F1B">
        <w:rPr>
          <w:rFonts w:eastAsia="Calibri"/>
          <w:lang w:val="fr-FR"/>
        </w:rPr>
        <w:t>égalité des femmes et des filles.</w:t>
      </w:r>
    </w:p>
    <w:p w:rsidR="006879D2" w:rsidRPr="006F0F1B" w:rsidRDefault="006879D2" w:rsidP="00754C14">
      <w:pPr>
        <w:pStyle w:val="SingleTxtG"/>
        <w:numPr>
          <w:ilvl w:val="0"/>
          <w:numId w:val="33"/>
        </w:numPr>
        <w:ind w:left="1134" w:firstLine="0"/>
        <w:rPr>
          <w:rFonts w:eastAsia="Calibri"/>
          <w:color w:val="000000"/>
          <w:lang w:val="fr-FR"/>
        </w:rPr>
      </w:pPr>
      <w:r w:rsidRPr="006F0F1B">
        <w:rPr>
          <w:rFonts w:eastAsia="Calibri"/>
          <w:lang w:val="fr-FR"/>
        </w:rPr>
        <w:t xml:space="preserve">Cependant, le </w:t>
      </w:r>
      <w:r w:rsidR="00161EB5" w:rsidRPr="006F0F1B">
        <w:rPr>
          <w:rFonts w:eastAsia="Calibri"/>
          <w:lang w:val="fr-FR"/>
        </w:rPr>
        <w:t xml:space="preserve">Conseil des droits de l’homme </w:t>
      </w:r>
      <w:r w:rsidRPr="006F0F1B">
        <w:rPr>
          <w:rFonts w:eastAsia="Calibri"/>
          <w:lang w:val="fr-FR"/>
        </w:rPr>
        <w:t xml:space="preserve">dans sa </w:t>
      </w:r>
      <w:r w:rsidRPr="00DA64F5">
        <w:rPr>
          <w:rFonts w:eastAsia="Calibri"/>
          <w:lang w:val="fr-FR"/>
        </w:rPr>
        <w:t xml:space="preserve">résolution 26/11 sur la </w:t>
      </w:r>
      <w:r w:rsidRPr="00E32163">
        <w:rPr>
          <w:rFonts w:eastAsia="Calibri"/>
          <w:lang w:val="fr-FR"/>
        </w:rPr>
        <w:t xml:space="preserve">protection de la famille n’a pas réaffirmé le droit à l’égalité des femmes dans la famille. </w:t>
      </w:r>
      <w:r w:rsidR="00862FBF" w:rsidRPr="00E32163">
        <w:rPr>
          <w:rFonts w:eastAsia="Calibri"/>
          <w:lang w:val="fr-FR"/>
        </w:rPr>
        <w:t>En octobre 2014, l</w:t>
      </w:r>
      <w:r w:rsidRPr="00E32163">
        <w:rPr>
          <w:rFonts w:eastAsia="Calibri"/>
          <w:lang w:val="fr-FR"/>
        </w:rPr>
        <w:t xml:space="preserve">es </w:t>
      </w:r>
      <w:r w:rsidR="00862FBF" w:rsidRPr="00E32163">
        <w:rPr>
          <w:rFonts w:eastAsia="Calibri"/>
          <w:lang w:val="fr-FR"/>
        </w:rPr>
        <w:t xml:space="preserve">titulaires de mandat au titre des </w:t>
      </w:r>
      <w:r w:rsidR="00147C81" w:rsidRPr="00E32163">
        <w:rPr>
          <w:rFonts w:eastAsia="Calibri"/>
          <w:lang w:val="fr-FR"/>
        </w:rPr>
        <w:t>p</w:t>
      </w:r>
      <w:r w:rsidRPr="00E32163">
        <w:rPr>
          <w:rFonts w:eastAsia="Calibri"/>
          <w:lang w:val="fr-FR"/>
        </w:rPr>
        <w:t xml:space="preserve">rocédures </w:t>
      </w:r>
      <w:r w:rsidR="00147C81" w:rsidRPr="00E32163">
        <w:rPr>
          <w:rFonts w:eastAsia="Calibri"/>
          <w:lang w:val="fr-FR"/>
        </w:rPr>
        <w:t>s</w:t>
      </w:r>
      <w:r w:rsidRPr="0016746E">
        <w:rPr>
          <w:rFonts w:eastAsia="Calibri"/>
          <w:lang w:val="fr-FR"/>
        </w:rPr>
        <w:t>péciales ont</w:t>
      </w:r>
      <w:r w:rsidRPr="006F0F1B">
        <w:rPr>
          <w:rFonts w:eastAsia="Calibri"/>
          <w:lang w:val="fr-FR"/>
        </w:rPr>
        <w:t xml:space="preserve"> publié une déclaration appelant le </w:t>
      </w:r>
      <w:r w:rsidR="00161EB5" w:rsidRPr="006F0F1B">
        <w:rPr>
          <w:rFonts w:eastAsia="Calibri"/>
          <w:lang w:val="fr-FR"/>
        </w:rPr>
        <w:t xml:space="preserve">Conseil </w:t>
      </w:r>
      <w:r w:rsidRPr="006F0F1B">
        <w:rPr>
          <w:rFonts w:eastAsia="Calibri"/>
          <w:lang w:val="fr-FR"/>
        </w:rPr>
        <w:t xml:space="preserve">à garantir le droit à l’égalité entre les femmes et les </w:t>
      </w:r>
      <w:r w:rsidRPr="006F0F1B">
        <w:rPr>
          <w:rFonts w:eastAsia="Calibri"/>
          <w:lang w:val="fr-FR"/>
        </w:rPr>
        <w:lastRenderedPageBreak/>
        <w:t xml:space="preserve">hommes, et entre les filles et les garçons dans toute résolution future concernant la </w:t>
      </w:r>
      <w:r w:rsidRPr="00205A01">
        <w:rPr>
          <w:rFonts w:eastAsia="Calibri"/>
          <w:lang w:val="fr-FR"/>
        </w:rPr>
        <w:t>famille</w:t>
      </w:r>
      <w:r w:rsidRPr="006F0F1B">
        <w:rPr>
          <w:rStyle w:val="FootnoteReference"/>
          <w:rFonts w:eastAsia="Calibri"/>
          <w:lang w:val="fr-FR"/>
        </w:rPr>
        <w:footnoteReference w:id="26"/>
      </w:r>
      <w:r w:rsidRPr="006F0F1B">
        <w:rPr>
          <w:rFonts w:eastAsia="Calibri"/>
          <w:lang w:val="fr-FR"/>
        </w:rPr>
        <w:t>.</w:t>
      </w:r>
    </w:p>
    <w:p w:rsidR="006879D2" w:rsidRPr="006F0F1B" w:rsidRDefault="006879D2" w:rsidP="00723CCE">
      <w:pPr>
        <w:pStyle w:val="SingleTxtG"/>
        <w:numPr>
          <w:ilvl w:val="0"/>
          <w:numId w:val="33"/>
        </w:numPr>
        <w:ind w:left="1134" w:firstLine="0"/>
        <w:rPr>
          <w:rFonts w:eastAsia="Calibri"/>
          <w:color w:val="000000"/>
          <w:lang w:val="fr-FR"/>
        </w:rPr>
      </w:pPr>
      <w:r w:rsidRPr="006F0F1B">
        <w:rPr>
          <w:rFonts w:eastAsia="Calibri"/>
          <w:color w:val="000000"/>
          <w:lang w:val="fr-FR"/>
        </w:rPr>
        <w:t xml:space="preserve">Plusieurs </w:t>
      </w:r>
      <w:r w:rsidR="00FA37AB" w:rsidRPr="00ED069E">
        <w:rPr>
          <w:rFonts w:eastAsia="Calibri"/>
          <w:color w:val="000000"/>
          <w:lang w:val="fr-FR"/>
        </w:rPr>
        <w:t>États</w:t>
      </w:r>
      <w:r w:rsidRPr="006F0F1B">
        <w:rPr>
          <w:rFonts w:eastAsia="Calibri"/>
          <w:color w:val="000000"/>
          <w:lang w:val="fr-FR"/>
        </w:rPr>
        <w:t xml:space="preserve"> ont émis des réserves à l</w:t>
      </w:r>
      <w:r w:rsidR="00BC7BEE">
        <w:rPr>
          <w:rFonts w:eastAsia="Calibri"/>
          <w:color w:val="000000"/>
          <w:lang w:val="fr-FR"/>
        </w:rPr>
        <w:t>’</w:t>
      </w:r>
      <w:r w:rsidR="00272691">
        <w:rPr>
          <w:rFonts w:eastAsia="Calibri"/>
          <w:color w:val="000000"/>
          <w:lang w:val="fr-FR"/>
        </w:rPr>
        <w:t>article </w:t>
      </w:r>
      <w:r w:rsidRPr="006F0F1B">
        <w:rPr>
          <w:rFonts w:eastAsia="Calibri"/>
          <w:color w:val="000000"/>
          <w:lang w:val="fr-FR"/>
        </w:rPr>
        <w:t xml:space="preserve">16 de </w:t>
      </w:r>
      <w:r w:rsidRPr="00DA64F5">
        <w:rPr>
          <w:rFonts w:eastAsia="Calibri"/>
          <w:color w:val="000000"/>
          <w:lang w:val="fr-FR"/>
        </w:rPr>
        <w:t xml:space="preserve">la Convention </w:t>
      </w:r>
      <w:r w:rsidR="00F45127" w:rsidRPr="00E32163">
        <w:rPr>
          <w:rFonts w:eastAsia="Calibri"/>
          <w:lang w:val="fr-FR"/>
        </w:rPr>
        <w:t>sur l’élimination de toutes les formes de discrimination à l’égard des femmes</w:t>
      </w:r>
      <w:r w:rsidRPr="00E32163">
        <w:rPr>
          <w:rFonts w:eastAsia="Calibri"/>
          <w:color w:val="000000"/>
          <w:lang w:val="fr-FR"/>
        </w:rPr>
        <w:t>,</w:t>
      </w:r>
      <w:r w:rsidRPr="006F0F1B">
        <w:rPr>
          <w:rFonts w:eastAsia="Calibri"/>
          <w:color w:val="000000"/>
          <w:lang w:val="fr-FR"/>
        </w:rPr>
        <w:t xml:space="preserve"> qui exige l</w:t>
      </w:r>
      <w:r w:rsidR="00BC7BEE">
        <w:rPr>
          <w:rFonts w:eastAsia="Calibri"/>
          <w:color w:val="000000"/>
          <w:lang w:val="fr-FR"/>
        </w:rPr>
        <w:t>’</w:t>
      </w:r>
      <w:r w:rsidRPr="006F0F1B">
        <w:rPr>
          <w:rFonts w:eastAsia="Calibri"/>
          <w:color w:val="000000"/>
          <w:lang w:val="fr-FR"/>
        </w:rPr>
        <w:t>égalité des sexes dans le mariage et la famille, et ce au nom de la culture ou de la religion. L</w:t>
      </w:r>
      <w:r w:rsidR="00C522D0">
        <w:rPr>
          <w:rFonts w:eastAsia="Calibri"/>
          <w:color w:val="000000"/>
          <w:lang w:val="fr-FR"/>
        </w:rPr>
        <w:t xml:space="preserve">e retrait </w:t>
      </w:r>
      <w:r w:rsidRPr="006F0F1B">
        <w:rPr>
          <w:rFonts w:eastAsia="Calibri"/>
          <w:color w:val="000000"/>
          <w:lang w:val="fr-FR"/>
        </w:rPr>
        <w:t>des réserves à l</w:t>
      </w:r>
      <w:r w:rsidR="00BC7BEE">
        <w:rPr>
          <w:rFonts w:eastAsia="Calibri"/>
          <w:color w:val="000000"/>
          <w:lang w:val="fr-FR"/>
        </w:rPr>
        <w:t>’</w:t>
      </w:r>
      <w:r w:rsidR="00272691">
        <w:rPr>
          <w:rFonts w:eastAsia="Calibri"/>
          <w:color w:val="000000"/>
          <w:lang w:val="fr-FR"/>
        </w:rPr>
        <w:t>article </w:t>
      </w:r>
      <w:r w:rsidRPr="006F0F1B">
        <w:rPr>
          <w:rFonts w:eastAsia="Calibri"/>
          <w:color w:val="000000"/>
          <w:lang w:val="fr-FR"/>
        </w:rPr>
        <w:t xml:space="preserve">16, mais aussi aux </w:t>
      </w:r>
      <w:r w:rsidR="00AE7DC6">
        <w:rPr>
          <w:rFonts w:eastAsia="Calibri"/>
          <w:color w:val="000000"/>
          <w:lang w:val="fr-FR"/>
        </w:rPr>
        <w:t>articles </w:t>
      </w:r>
      <w:r w:rsidRPr="006F0F1B">
        <w:rPr>
          <w:rFonts w:eastAsia="Calibri"/>
          <w:color w:val="000000"/>
          <w:lang w:val="fr-FR"/>
        </w:rPr>
        <w:t xml:space="preserve">2 et 5 de </w:t>
      </w:r>
      <w:r w:rsidR="00525382" w:rsidRPr="00525382">
        <w:rPr>
          <w:rFonts w:eastAsia="Calibri"/>
          <w:color w:val="000000"/>
          <w:lang w:val="fr-FR"/>
        </w:rPr>
        <w:t xml:space="preserve">cette </w:t>
      </w:r>
      <w:r w:rsidR="00754C14">
        <w:rPr>
          <w:rFonts w:eastAsia="Calibri"/>
          <w:color w:val="000000"/>
          <w:lang w:val="fr-FR"/>
        </w:rPr>
        <w:t>c</w:t>
      </w:r>
      <w:r w:rsidRPr="00525382">
        <w:rPr>
          <w:rFonts w:eastAsia="Calibri"/>
          <w:color w:val="000000"/>
          <w:lang w:val="fr-FR"/>
        </w:rPr>
        <w:t xml:space="preserve">onvention </w:t>
      </w:r>
      <w:r w:rsidRPr="006F0F1B">
        <w:rPr>
          <w:rFonts w:eastAsia="Calibri"/>
          <w:color w:val="000000"/>
          <w:lang w:val="fr-FR"/>
        </w:rPr>
        <w:t>constitue une bonne pratique et une étape essentielle dans la mise en place d</w:t>
      </w:r>
      <w:r w:rsidR="00BC7BEE">
        <w:rPr>
          <w:rFonts w:eastAsia="Calibri"/>
          <w:color w:val="000000"/>
          <w:lang w:val="fr-FR"/>
        </w:rPr>
        <w:t>’</w:t>
      </w:r>
      <w:r w:rsidRPr="006F0F1B">
        <w:rPr>
          <w:rFonts w:eastAsia="Calibri"/>
          <w:color w:val="000000"/>
          <w:lang w:val="fr-FR"/>
        </w:rPr>
        <w:t xml:space="preserve">un cadre juridique efficace pour protéger les droits des femmes dans la famille et la vie culturelle. Ainsi, le Maroc et la </w:t>
      </w:r>
      <w:r w:rsidRPr="006F0F1B">
        <w:rPr>
          <w:rFonts w:eastAsia="Calibri"/>
          <w:lang w:val="fr-FR"/>
        </w:rPr>
        <w:t>Tunisie</w:t>
      </w:r>
      <w:r w:rsidRPr="006F0F1B">
        <w:rPr>
          <w:rFonts w:eastAsia="Calibri"/>
          <w:color w:val="000000"/>
          <w:lang w:val="fr-FR"/>
        </w:rPr>
        <w:t xml:space="preserve"> ont </w:t>
      </w:r>
      <w:r w:rsidRPr="00962988">
        <w:rPr>
          <w:rFonts w:eastAsia="Calibri"/>
          <w:color w:val="000000"/>
          <w:lang w:val="fr-FR"/>
        </w:rPr>
        <w:t xml:space="preserve">récemment </w:t>
      </w:r>
      <w:r w:rsidR="00C522D0" w:rsidRPr="00962988">
        <w:rPr>
          <w:rFonts w:eastAsia="Calibri"/>
          <w:color w:val="000000"/>
          <w:lang w:val="fr-FR"/>
        </w:rPr>
        <w:t xml:space="preserve">retiré </w:t>
      </w:r>
      <w:r w:rsidR="00962988">
        <w:rPr>
          <w:rFonts w:eastAsia="Calibri"/>
          <w:color w:val="000000"/>
          <w:lang w:val="fr-FR"/>
        </w:rPr>
        <w:t>de</w:t>
      </w:r>
      <w:r w:rsidRPr="00962988">
        <w:rPr>
          <w:rFonts w:eastAsia="Calibri"/>
          <w:color w:val="000000"/>
          <w:lang w:val="fr-FR"/>
        </w:rPr>
        <w:t>s réserves</w:t>
      </w:r>
      <w:r w:rsidRPr="006F0F1B">
        <w:rPr>
          <w:rFonts w:eastAsia="Calibri"/>
          <w:color w:val="000000"/>
          <w:lang w:val="fr-FR"/>
        </w:rPr>
        <w:t xml:space="preserve"> à </w:t>
      </w:r>
      <w:r w:rsidR="00525382" w:rsidRPr="00525382">
        <w:rPr>
          <w:rFonts w:eastAsia="Calibri"/>
          <w:color w:val="000000"/>
          <w:lang w:val="fr-FR"/>
        </w:rPr>
        <w:t>cette</w:t>
      </w:r>
      <w:r w:rsidRPr="00525382">
        <w:rPr>
          <w:rFonts w:eastAsia="Calibri"/>
          <w:color w:val="000000"/>
          <w:lang w:val="fr-FR"/>
        </w:rPr>
        <w:t xml:space="preserve"> </w:t>
      </w:r>
      <w:r w:rsidR="00754C14">
        <w:rPr>
          <w:rFonts w:eastAsia="Calibri"/>
          <w:color w:val="000000"/>
          <w:lang w:val="fr-FR"/>
        </w:rPr>
        <w:t>c</w:t>
      </w:r>
      <w:r w:rsidRPr="00525382">
        <w:rPr>
          <w:rFonts w:eastAsia="Calibri"/>
          <w:color w:val="000000"/>
          <w:lang w:val="fr-FR"/>
        </w:rPr>
        <w:t>onvention,</w:t>
      </w:r>
      <w:r w:rsidRPr="006F0F1B">
        <w:rPr>
          <w:rFonts w:eastAsia="Calibri"/>
          <w:color w:val="000000"/>
          <w:lang w:val="fr-FR"/>
        </w:rPr>
        <w:t xml:space="preserve"> y </w:t>
      </w:r>
      <w:r w:rsidR="00C522D0">
        <w:rPr>
          <w:rFonts w:eastAsia="Calibri"/>
          <w:color w:val="000000"/>
          <w:lang w:val="fr-FR"/>
        </w:rPr>
        <w:t xml:space="preserve">compris à </w:t>
      </w:r>
      <w:r w:rsidRPr="006F0F1B">
        <w:rPr>
          <w:rFonts w:eastAsia="Calibri"/>
          <w:color w:val="000000"/>
          <w:lang w:val="fr-FR"/>
        </w:rPr>
        <w:t>l</w:t>
      </w:r>
      <w:r w:rsidR="00BC7BEE">
        <w:rPr>
          <w:rFonts w:eastAsia="Calibri"/>
          <w:color w:val="000000"/>
          <w:lang w:val="fr-FR"/>
        </w:rPr>
        <w:t>’</w:t>
      </w:r>
      <w:r w:rsidR="00272691">
        <w:rPr>
          <w:rFonts w:eastAsia="Calibri"/>
          <w:color w:val="000000"/>
          <w:lang w:val="fr-FR"/>
        </w:rPr>
        <w:t>article </w:t>
      </w:r>
      <w:r w:rsidRPr="006F0F1B">
        <w:rPr>
          <w:rFonts w:eastAsia="Calibri"/>
          <w:color w:val="000000"/>
          <w:lang w:val="fr-FR"/>
        </w:rPr>
        <w:t>16. Le Groupe d</w:t>
      </w:r>
      <w:r w:rsidR="00736F92">
        <w:rPr>
          <w:rFonts w:eastAsia="Calibri"/>
          <w:color w:val="000000"/>
          <w:lang w:val="fr-FR"/>
        </w:rPr>
        <w:t xml:space="preserve">e travail </w:t>
      </w:r>
      <w:r w:rsidRPr="006F0F1B">
        <w:rPr>
          <w:rFonts w:eastAsia="Calibri"/>
          <w:color w:val="000000"/>
          <w:lang w:val="fr-FR"/>
        </w:rPr>
        <w:t xml:space="preserve">s’associe à l’opinion du Comité </w:t>
      </w:r>
      <w:r w:rsidR="00F45127">
        <w:rPr>
          <w:rFonts w:eastAsia="Calibri"/>
          <w:lang w:val="fr-FR"/>
        </w:rPr>
        <w:t>pour l’élimination de la discrimination à l’égard des femmes</w:t>
      </w:r>
      <w:r w:rsidRPr="006F0F1B">
        <w:rPr>
          <w:rFonts w:eastAsia="Calibri"/>
          <w:color w:val="000000"/>
          <w:lang w:val="fr-FR"/>
        </w:rPr>
        <w:t xml:space="preserve"> en rappelant que des réserves aux </w:t>
      </w:r>
      <w:r w:rsidR="00AE7DC6">
        <w:rPr>
          <w:rFonts w:eastAsia="Calibri"/>
          <w:color w:val="000000"/>
          <w:lang w:val="fr-FR"/>
        </w:rPr>
        <w:t>articles </w:t>
      </w:r>
      <w:r w:rsidRPr="006F0F1B">
        <w:rPr>
          <w:rFonts w:eastAsia="Calibri"/>
          <w:color w:val="000000"/>
          <w:lang w:val="fr-FR"/>
        </w:rPr>
        <w:t xml:space="preserve">2 et 16 sont incompatibles avec </w:t>
      </w:r>
      <w:r w:rsidR="007632AD">
        <w:rPr>
          <w:rFonts w:eastAsia="Calibri"/>
          <w:color w:val="000000"/>
          <w:lang w:val="fr-FR"/>
        </w:rPr>
        <w:t>l’objet et le but</w:t>
      </w:r>
      <w:r w:rsidRPr="006F0F1B">
        <w:rPr>
          <w:rFonts w:eastAsia="Calibri"/>
          <w:color w:val="000000"/>
          <w:lang w:val="fr-FR"/>
        </w:rPr>
        <w:t xml:space="preserve"> de </w:t>
      </w:r>
      <w:r w:rsidRPr="00525382">
        <w:rPr>
          <w:rFonts w:eastAsia="Calibri"/>
          <w:color w:val="000000"/>
          <w:lang w:val="fr-FR"/>
        </w:rPr>
        <w:t>la</w:t>
      </w:r>
      <w:r w:rsidR="007632AD">
        <w:rPr>
          <w:rFonts w:eastAsia="Calibri"/>
          <w:color w:val="000000"/>
          <w:lang w:val="fr-FR"/>
        </w:rPr>
        <w:t xml:space="preserve"> C</w:t>
      </w:r>
      <w:r w:rsidRPr="00525382">
        <w:rPr>
          <w:rFonts w:eastAsia="Calibri"/>
          <w:color w:val="000000"/>
          <w:lang w:val="fr-FR"/>
        </w:rPr>
        <w:t>onvention,</w:t>
      </w:r>
      <w:r w:rsidRPr="006F0F1B">
        <w:rPr>
          <w:rFonts w:eastAsia="Calibri"/>
          <w:color w:val="000000"/>
          <w:lang w:val="fr-FR"/>
        </w:rPr>
        <w:t xml:space="preserve"> et réitère l</w:t>
      </w:r>
      <w:r w:rsidR="00BC7BEE">
        <w:rPr>
          <w:rFonts w:eastAsia="Calibri"/>
          <w:color w:val="000000"/>
          <w:lang w:val="fr-FR"/>
        </w:rPr>
        <w:t>’</w:t>
      </w:r>
      <w:r w:rsidRPr="006F0F1B">
        <w:rPr>
          <w:rFonts w:eastAsia="Calibri"/>
          <w:color w:val="000000"/>
          <w:lang w:val="fr-FR"/>
        </w:rPr>
        <w:t xml:space="preserve">importance pour les </w:t>
      </w:r>
      <w:r w:rsidR="00BC7BEE" w:rsidRPr="00ED069E">
        <w:rPr>
          <w:rFonts w:eastAsia="Calibri"/>
          <w:color w:val="000000"/>
          <w:lang w:val="fr-FR"/>
        </w:rPr>
        <w:t>États</w:t>
      </w:r>
      <w:r w:rsidRPr="006F0F1B">
        <w:rPr>
          <w:rFonts w:eastAsia="Calibri"/>
          <w:color w:val="000000"/>
          <w:lang w:val="fr-FR"/>
        </w:rPr>
        <w:t xml:space="preserve"> de retirer le</w:t>
      </w:r>
      <w:r w:rsidR="007632AD">
        <w:rPr>
          <w:rFonts w:eastAsia="Calibri"/>
          <w:color w:val="000000"/>
          <w:lang w:val="fr-FR"/>
        </w:rPr>
        <w:t>ur</w:t>
      </w:r>
      <w:r w:rsidRPr="006F0F1B">
        <w:rPr>
          <w:rFonts w:eastAsia="Calibri"/>
          <w:color w:val="000000"/>
          <w:lang w:val="fr-FR"/>
        </w:rPr>
        <w:t xml:space="preserve">s réserves à ces </w:t>
      </w:r>
      <w:r w:rsidR="00AE7DC6">
        <w:rPr>
          <w:rFonts w:eastAsia="Calibri"/>
          <w:color w:val="000000"/>
          <w:lang w:val="fr-FR"/>
        </w:rPr>
        <w:t>articles </w:t>
      </w:r>
      <w:r w:rsidR="0028253A">
        <w:rPr>
          <w:rFonts w:eastAsia="Calibri"/>
          <w:color w:val="000000"/>
          <w:lang w:val="fr-FR"/>
        </w:rPr>
        <w:t xml:space="preserve">et </w:t>
      </w:r>
      <w:r w:rsidRPr="006F0F1B">
        <w:rPr>
          <w:rFonts w:eastAsia="Calibri"/>
          <w:color w:val="000000"/>
          <w:lang w:val="fr-FR"/>
        </w:rPr>
        <w:t>à l’</w:t>
      </w:r>
      <w:r w:rsidR="00272691">
        <w:rPr>
          <w:rFonts w:eastAsia="Calibri"/>
          <w:color w:val="000000"/>
          <w:lang w:val="fr-FR"/>
        </w:rPr>
        <w:t>article </w:t>
      </w:r>
      <w:r w:rsidRPr="006F0F1B">
        <w:rPr>
          <w:rFonts w:eastAsia="Calibri"/>
          <w:color w:val="000000"/>
          <w:lang w:val="fr-FR"/>
        </w:rPr>
        <w:t>5 pour assurer l</w:t>
      </w:r>
      <w:r w:rsidR="00BC7BEE">
        <w:rPr>
          <w:rFonts w:eastAsia="Calibri"/>
          <w:color w:val="000000"/>
          <w:lang w:val="fr-FR"/>
        </w:rPr>
        <w:t>’</w:t>
      </w:r>
      <w:r w:rsidRPr="006F0F1B">
        <w:rPr>
          <w:rFonts w:eastAsia="Calibri"/>
          <w:color w:val="000000"/>
          <w:lang w:val="fr-FR"/>
        </w:rPr>
        <w:t>égalité des sexes dans la vie culturelle et familiale. La responsabilité de l’</w:t>
      </w:r>
      <w:r w:rsidR="00BC7BEE" w:rsidRPr="00ED069E">
        <w:rPr>
          <w:rFonts w:eastAsia="Calibri"/>
          <w:color w:val="000000"/>
          <w:lang w:val="fr-FR"/>
        </w:rPr>
        <w:t>État</w:t>
      </w:r>
      <w:r w:rsidRPr="006F0F1B">
        <w:rPr>
          <w:rFonts w:eastAsia="Calibri"/>
          <w:color w:val="000000"/>
          <w:lang w:val="fr-FR"/>
        </w:rPr>
        <w:t xml:space="preserve"> tient au respect de ses engagements internationaux et </w:t>
      </w:r>
      <w:r w:rsidRPr="00250230">
        <w:rPr>
          <w:rFonts w:eastAsia="Calibri"/>
          <w:color w:val="000000"/>
          <w:lang w:val="fr-FR"/>
        </w:rPr>
        <w:t>de ses</w:t>
      </w:r>
      <w:r w:rsidRPr="006F0F1B">
        <w:rPr>
          <w:rFonts w:eastAsia="Calibri"/>
          <w:color w:val="000000"/>
          <w:lang w:val="fr-FR"/>
        </w:rPr>
        <w:t xml:space="preserve"> choix clairs concernant la place prioritaire qui doit être accordée aux normes juridiques internationales sur l’égalité des sexes par rapport aux normes juridiques nationales sécul</w:t>
      </w:r>
      <w:r w:rsidR="00723CCE">
        <w:rPr>
          <w:rFonts w:eastAsia="Calibri"/>
          <w:color w:val="000000"/>
          <w:lang w:val="fr-FR"/>
        </w:rPr>
        <w:t>ièr</w:t>
      </w:r>
      <w:r w:rsidRPr="006F0F1B">
        <w:rPr>
          <w:rFonts w:eastAsia="Calibri"/>
          <w:color w:val="000000"/>
          <w:lang w:val="fr-FR"/>
        </w:rPr>
        <w:t>es, religieuses ou coutumières.</w:t>
      </w:r>
    </w:p>
    <w:p w:rsidR="006879D2" w:rsidRPr="006F0F1B" w:rsidRDefault="00896432" w:rsidP="007632AD">
      <w:pPr>
        <w:pStyle w:val="H23G"/>
        <w:rPr>
          <w:lang w:val="fr-FR"/>
        </w:rPr>
      </w:pPr>
      <w:r w:rsidRPr="006F0F1B">
        <w:rPr>
          <w:lang w:val="fr-FR"/>
        </w:rPr>
        <w:tab/>
        <w:t>3.</w:t>
      </w:r>
      <w:r w:rsidRPr="006F0F1B">
        <w:rPr>
          <w:lang w:val="fr-FR"/>
        </w:rPr>
        <w:tab/>
      </w:r>
      <w:r w:rsidR="006879D2" w:rsidRPr="006F0F1B">
        <w:rPr>
          <w:lang w:val="fr-FR"/>
        </w:rPr>
        <w:t>Manifestation de la discrimination contre les femmes dans la famille</w:t>
      </w:r>
    </w:p>
    <w:p w:rsidR="006879D2" w:rsidRPr="006F0F1B" w:rsidRDefault="006879D2" w:rsidP="000529DC">
      <w:pPr>
        <w:pStyle w:val="SingleTxtG"/>
        <w:numPr>
          <w:ilvl w:val="0"/>
          <w:numId w:val="33"/>
        </w:numPr>
        <w:ind w:left="1134" w:firstLine="0"/>
        <w:rPr>
          <w:rFonts w:eastAsia="Calibri"/>
          <w:lang w:val="fr-FR"/>
        </w:rPr>
      </w:pPr>
      <w:r w:rsidRPr="006F0F1B">
        <w:rPr>
          <w:rFonts w:eastAsia="Calibri"/>
          <w:color w:val="000000"/>
          <w:lang w:val="fr-FR"/>
        </w:rPr>
        <w:t>Le rôle des femmes dans la famille a généralement été sujet au contrôle patriarcal dans les cultures et les religions</w:t>
      </w:r>
      <w:r w:rsidRPr="006F0F1B">
        <w:rPr>
          <w:rFonts w:eastAsia="Calibri"/>
          <w:lang w:val="fr-FR"/>
        </w:rPr>
        <w:t xml:space="preserve"> soumettant les femmes et les filles au mariage forcé et/ou précoce et à des discriminations concernant plusieurs aspects de la vie familiale comme le consentement pour contracter un </w:t>
      </w:r>
      <w:r w:rsidRPr="00250230">
        <w:rPr>
          <w:rFonts w:eastAsia="Calibri"/>
          <w:lang w:val="fr-FR"/>
        </w:rPr>
        <w:t>mariage; les obligations</w:t>
      </w:r>
      <w:r w:rsidRPr="006F0F1B">
        <w:rPr>
          <w:rFonts w:eastAsia="Calibri"/>
          <w:lang w:val="fr-FR"/>
        </w:rPr>
        <w:t xml:space="preserve"> de dot; le droit de posséder et de gérer la propriété; les relations sexuelles; les exigences de modestie et la liberté de mouvement</w:t>
      </w:r>
      <w:r w:rsidR="005B0E15">
        <w:rPr>
          <w:rFonts w:eastAsia="Calibri"/>
          <w:lang w:val="fr-FR"/>
        </w:rPr>
        <w:t>;</w:t>
      </w:r>
      <w:r w:rsidRPr="006F0F1B">
        <w:rPr>
          <w:rFonts w:eastAsia="Calibri"/>
          <w:lang w:val="fr-FR"/>
        </w:rPr>
        <w:t xml:space="preserve"> la tutelle ou la garde des enfants</w:t>
      </w:r>
      <w:r w:rsidR="005B0E15">
        <w:rPr>
          <w:rFonts w:eastAsia="Calibri"/>
          <w:lang w:val="fr-FR"/>
        </w:rPr>
        <w:t>;</w:t>
      </w:r>
      <w:r w:rsidRPr="006F0F1B">
        <w:rPr>
          <w:rFonts w:eastAsia="Calibri"/>
          <w:lang w:val="fr-FR"/>
        </w:rPr>
        <w:t xml:space="preserve"> le divorce et le partage des biens matrimoniaux; la sanction de l’adultère</w:t>
      </w:r>
      <w:r w:rsidR="005B0E15">
        <w:rPr>
          <w:rFonts w:eastAsia="Calibri"/>
          <w:lang w:val="fr-FR"/>
        </w:rPr>
        <w:t>;</w:t>
      </w:r>
      <w:r w:rsidRPr="006F0F1B">
        <w:rPr>
          <w:rFonts w:eastAsia="Calibri"/>
          <w:lang w:val="fr-FR"/>
        </w:rPr>
        <w:t xml:space="preserve"> le droit de se remarier après la dissolution du mariage ou la mort du mari</w:t>
      </w:r>
      <w:r w:rsidR="005B0E15">
        <w:rPr>
          <w:rFonts w:eastAsia="Calibri"/>
          <w:lang w:val="fr-FR"/>
        </w:rPr>
        <w:t>;</w:t>
      </w:r>
      <w:r w:rsidRPr="006F0F1B">
        <w:rPr>
          <w:rFonts w:eastAsia="Calibri"/>
          <w:lang w:val="fr-FR"/>
        </w:rPr>
        <w:t xml:space="preserve"> le statut des veuves</w:t>
      </w:r>
      <w:r w:rsidR="005B0E15">
        <w:rPr>
          <w:rFonts w:eastAsia="Calibri"/>
          <w:lang w:val="fr-FR"/>
        </w:rPr>
        <w:t>;</w:t>
      </w:r>
      <w:r w:rsidRPr="006F0F1B">
        <w:rPr>
          <w:rFonts w:eastAsia="Calibri"/>
          <w:lang w:val="fr-FR"/>
        </w:rPr>
        <w:t xml:space="preserve"> et l’héritage. De plus, les femmes et les filles ne sont généralement pas traitées à égalité dans les familles </w:t>
      </w:r>
      <w:r w:rsidRPr="00BB506E">
        <w:rPr>
          <w:rFonts w:eastAsia="Calibri"/>
          <w:lang w:val="fr-FR"/>
        </w:rPr>
        <w:t>concernant</w:t>
      </w:r>
      <w:r w:rsidRPr="006F0F1B">
        <w:rPr>
          <w:rFonts w:eastAsia="Calibri"/>
          <w:lang w:val="fr-FR"/>
        </w:rPr>
        <w:t xml:space="preserve"> la division des droits et des responsabilités. La discrimination </w:t>
      </w:r>
      <w:r w:rsidR="000529DC">
        <w:rPr>
          <w:rFonts w:eastAsia="Calibri"/>
          <w:lang w:val="fr-FR"/>
        </w:rPr>
        <w:t>à l’égard d</w:t>
      </w:r>
      <w:r w:rsidRPr="006F0F1B">
        <w:rPr>
          <w:rFonts w:eastAsia="Calibri"/>
          <w:lang w:val="fr-FR"/>
        </w:rPr>
        <w:t xml:space="preserve">es femmes et </w:t>
      </w:r>
      <w:r w:rsidR="000529DC">
        <w:rPr>
          <w:rFonts w:eastAsia="Calibri"/>
          <w:lang w:val="fr-FR"/>
        </w:rPr>
        <w:t>d</w:t>
      </w:r>
      <w:r w:rsidRPr="006F0F1B">
        <w:rPr>
          <w:rFonts w:eastAsia="Calibri"/>
          <w:lang w:val="fr-FR"/>
        </w:rPr>
        <w:t xml:space="preserve">es filles dans la famille et le mariage a des conséquences sur tous les aspects de </w:t>
      </w:r>
      <w:r w:rsidRPr="00250230">
        <w:rPr>
          <w:rFonts w:eastAsia="Calibri"/>
          <w:lang w:val="fr-FR"/>
        </w:rPr>
        <w:t>leurs vies.</w:t>
      </w:r>
    </w:p>
    <w:p w:rsidR="006879D2" w:rsidRPr="006F0F1B" w:rsidRDefault="006879D2" w:rsidP="00D665CE">
      <w:pPr>
        <w:pStyle w:val="SingleTxtG"/>
        <w:numPr>
          <w:ilvl w:val="0"/>
          <w:numId w:val="33"/>
        </w:numPr>
        <w:ind w:left="1134" w:firstLine="0"/>
        <w:rPr>
          <w:rFonts w:eastAsia="Calibri"/>
          <w:lang w:val="fr-FR"/>
        </w:rPr>
      </w:pPr>
      <w:r w:rsidRPr="006F0F1B">
        <w:rPr>
          <w:rFonts w:eastAsia="Calibri"/>
          <w:color w:val="000000"/>
          <w:lang w:val="fr-FR"/>
        </w:rPr>
        <w:t>Dans de nombreuses cultures et religions, la femme a un devoir d’obéissance</w:t>
      </w:r>
      <w:r w:rsidR="001C2AF4">
        <w:rPr>
          <w:rFonts w:eastAsia="Calibri"/>
          <w:color w:val="000000"/>
          <w:lang w:val="fr-FR"/>
        </w:rPr>
        <w:t>,</w:t>
      </w:r>
      <w:r w:rsidRPr="006F0F1B">
        <w:rPr>
          <w:rFonts w:eastAsia="Calibri"/>
          <w:color w:val="000000"/>
          <w:lang w:val="fr-FR"/>
        </w:rPr>
        <w:t xml:space="preserve"> et le mari a le droit de la punir, y compris en recourant aux châtiments corporels. Les services sexuels de la femme sont considérés comme faisant partie de son devoir d</w:t>
      </w:r>
      <w:r w:rsidR="00BC7BEE">
        <w:rPr>
          <w:rFonts w:eastAsia="Calibri"/>
          <w:color w:val="000000"/>
          <w:lang w:val="fr-FR"/>
        </w:rPr>
        <w:t>’</w:t>
      </w:r>
      <w:r w:rsidRPr="006F0F1B">
        <w:rPr>
          <w:rFonts w:eastAsia="Calibri"/>
          <w:color w:val="000000"/>
          <w:lang w:val="fr-FR"/>
        </w:rPr>
        <w:t>obéissance à son mari</w:t>
      </w:r>
      <w:r w:rsidRPr="006F0F1B">
        <w:rPr>
          <w:rStyle w:val="FootnoteReference"/>
          <w:rFonts w:eastAsia="Calibri"/>
          <w:lang w:val="fr-FR"/>
        </w:rPr>
        <w:footnoteReference w:id="27"/>
      </w:r>
      <w:r w:rsidRPr="006F0F1B">
        <w:rPr>
          <w:rFonts w:eastAsia="Calibri"/>
          <w:color w:val="000000"/>
          <w:lang w:val="fr-FR"/>
        </w:rPr>
        <w:t xml:space="preserve"> et le viol conjugal n’est pas interdit</w:t>
      </w:r>
      <w:r w:rsidRPr="006F0F1B">
        <w:rPr>
          <w:rStyle w:val="FootnoteReference"/>
          <w:rFonts w:eastAsia="Calibri"/>
          <w:lang w:val="fr-FR"/>
        </w:rPr>
        <w:footnoteReference w:id="28"/>
      </w:r>
      <w:r w:rsidRPr="006F0F1B">
        <w:rPr>
          <w:rFonts w:eastAsia="Calibri"/>
          <w:color w:val="000000"/>
          <w:lang w:val="fr-FR"/>
        </w:rPr>
        <w:t>.</w:t>
      </w:r>
      <w:r w:rsidRPr="006F0F1B">
        <w:rPr>
          <w:rFonts w:eastAsia="Calibri"/>
          <w:lang w:val="fr-FR"/>
        </w:rPr>
        <w:t xml:space="preserve"> Le </w:t>
      </w:r>
      <w:r w:rsidR="00736F92">
        <w:rPr>
          <w:rFonts w:eastAsia="Calibri"/>
          <w:lang w:val="fr-FR"/>
        </w:rPr>
        <w:t>Groupe de travail</w:t>
      </w:r>
      <w:r w:rsidRPr="006F0F1B">
        <w:rPr>
          <w:rFonts w:eastAsia="Calibri"/>
          <w:lang w:val="fr-FR"/>
        </w:rPr>
        <w:t xml:space="preserve"> </w:t>
      </w:r>
      <w:r w:rsidR="001C2AF4">
        <w:rPr>
          <w:rFonts w:eastAsia="Calibri"/>
          <w:lang w:val="fr-FR"/>
        </w:rPr>
        <w:t xml:space="preserve">se </w:t>
      </w:r>
      <w:r w:rsidRPr="006F0F1B">
        <w:rPr>
          <w:rFonts w:eastAsia="Calibri"/>
          <w:lang w:val="fr-FR"/>
        </w:rPr>
        <w:t xml:space="preserve">félicite </w:t>
      </w:r>
      <w:r w:rsidR="001C2AF4">
        <w:rPr>
          <w:rFonts w:eastAsia="Calibri"/>
          <w:lang w:val="fr-FR"/>
        </w:rPr>
        <w:t xml:space="preserve">de </w:t>
      </w:r>
      <w:r w:rsidRPr="006F0F1B">
        <w:rPr>
          <w:rFonts w:eastAsia="Calibri"/>
          <w:lang w:val="fr-FR"/>
        </w:rPr>
        <w:t>l</w:t>
      </w:r>
      <w:r w:rsidR="00BC7BEE">
        <w:rPr>
          <w:rFonts w:eastAsia="Calibri"/>
          <w:lang w:val="fr-FR"/>
        </w:rPr>
        <w:t>’</w:t>
      </w:r>
      <w:r w:rsidRPr="006F0F1B">
        <w:rPr>
          <w:rFonts w:eastAsia="Calibri"/>
          <w:lang w:val="fr-FR"/>
        </w:rPr>
        <w:t>introduction de lois criminalisant la violence domestique dans environ 130</w:t>
      </w:r>
      <w:r w:rsidR="001C2AF4">
        <w:rPr>
          <w:rFonts w:eastAsia="Calibri"/>
          <w:lang w:val="fr-FR"/>
        </w:rPr>
        <w:t> </w:t>
      </w:r>
      <w:r w:rsidRPr="006F0F1B">
        <w:rPr>
          <w:rFonts w:eastAsia="Calibri"/>
          <w:lang w:val="fr-FR"/>
        </w:rPr>
        <w:t>pays mais regrette que seulement 52 pays criminalisent explicitement le viol conjugal</w:t>
      </w:r>
      <w:r w:rsidRPr="006F0F1B">
        <w:rPr>
          <w:rStyle w:val="FootnoteReference"/>
          <w:rFonts w:eastAsia="Calibri"/>
          <w:lang w:val="fr-FR"/>
        </w:rPr>
        <w:footnoteReference w:id="29"/>
      </w:r>
      <w:r w:rsidRPr="006F0F1B">
        <w:rPr>
          <w:rFonts w:eastAsia="Calibri"/>
          <w:lang w:val="fr-FR"/>
        </w:rPr>
        <w:t xml:space="preserve">. La violence domestique a un impact considérable sur les femmes, </w:t>
      </w:r>
      <w:r w:rsidR="00D665CE" w:rsidRPr="00D665CE">
        <w:rPr>
          <w:rFonts w:eastAsia="Calibri"/>
          <w:lang w:val="fr-FR"/>
        </w:rPr>
        <w:t xml:space="preserve">provoquant </w:t>
      </w:r>
      <w:r w:rsidRPr="00D665CE">
        <w:rPr>
          <w:rFonts w:eastAsia="Calibri"/>
          <w:lang w:val="fr-FR"/>
        </w:rPr>
        <w:t>plus de morts que lors de guerres civiles, e</w:t>
      </w:r>
      <w:r w:rsidRPr="006F0F1B">
        <w:rPr>
          <w:rFonts w:eastAsia="Calibri"/>
          <w:lang w:val="fr-FR"/>
        </w:rPr>
        <w:t xml:space="preserve">t </w:t>
      </w:r>
      <w:r w:rsidR="00D665CE">
        <w:rPr>
          <w:rFonts w:eastAsia="Calibri"/>
          <w:lang w:val="fr-FR"/>
        </w:rPr>
        <w:t xml:space="preserve">entraînant </w:t>
      </w:r>
      <w:r w:rsidRPr="006F0F1B">
        <w:rPr>
          <w:rFonts w:eastAsia="Calibri"/>
          <w:lang w:val="fr-FR"/>
        </w:rPr>
        <w:t>des coûts économiques beaucoup plus élevés que ceux liés aux homicides et aux guerres civiles</w:t>
      </w:r>
      <w:r w:rsidRPr="006F0F1B">
        <w:rPr>
          <w:rStyle w:val="FootnoteReference"/>
          <w:rFonts w:eastAsia="Calibri"/>
          <w:lang w:val="fr-FR"/>
        </w:rPr>
        <w:footnoteReference w:id="30"/>
      </w:r>
      <w:r w:rsidRPr="006F0F1B">
        <w:rPr>
          <w:rFonts w:eastAsia="Calibri"/>
          <w:lang w:val="fr-FR"/>
        </w:rPr>
        <w:t>.</w:t>
      </w:r>
    </w:p>
    <w:p w:rsidR="006879D2" w:rsidRPr="006F0F1B" w:rsidRDefault="006879D2" w:rsidP="000022D8">
      <w:pPr>
        <w:pStyle w:val="SingleTxtG"/>
        <w:numPr>
          <w:ilvl w:val="0"/>
          <w:numId w:val="33"/>
        </w:numPr>
        <w:ind w:left="1134" w:firstLine="0"/>
        <w:rPr>
          <w:rFonts w:eastAsia="Calibri"/>
          <w:lang w:val="fr-FR"/>
        </w:rPr>
      </w:pPr>
      <w:r w:rsidRPr="006F0F1B">
        <w:rPr>
          <w:rFonts w:eastAsia="Calibri"/>
          <w:color w:val="000000"/>
          <w:lang w:val="fr-FR"/>
        </w:rPr>
        <w:t xml:space="preserve">Dans certains pays, des dispositions législatives renforcent les structures familiales patriarcales, </w:t>
      </w:r>
      <w:r w:rsidR="00D665CE">
        <w:rPr>
          <w:rFonts w:eastAsia="Calibri"/>
          <w:color w:val="000000"/>
          <w:lang w:val="fr-FR"/>
        </w:rPr>
        <w:t xml:space="preserve">ainsi que </w:t>
      </w:r>
      <w:r w:rsidRPr="006F0F1B">
        <w:rPr>
          <w:rFonts w:eastAsia="Calibri"/>
          <w:color w:val="000000"/>
          <w:lang w:val="fr-FR"/>
        </w:rPr>
        <w:t xml:space="preserve">la discrimination et la violence </w:t>
      </w:r>
      <w:r w:rsidRPr="00D665CE">
        <w:rPr>
          <w:rFonts w:eastAsia="Calibri"/>
          <w:color w:val="000000"/>
          <w:lang w:val="fr-FR"/>
        </w:rPr>
        <w:t>concomitantes</w:t>
      </w:r>
      <w:r w:rsidRPr="006F0F1B">
        <w:rPr>
          <w:rFonts w:eastAsia="Calibri"/>
          <w:color w:val="000000"/>
          <w:lang w:val="fr-FR"/>
        </w:rPr>
        <w:t xml:space="preserve"> contre les femmes. </w:t>
      </w:r>
      <w:r w:rsidRPr="006F0F1B">
        <w:rPr>
          <w:rFonts w:eastAsia="Calibri"/>
          <w:lang w:val="fr-FR"/>
        </w:rPr>
        <w:t>C’est notamment le cas</w:t>
      </w:r>
      <w:r w:rsidR="000022D8">
        <w:rPr>
          <w:rFonts w:eastAsia="Calibri"/>
          <w:lang w:val="fr-FR"/>
        </w:rPr>
        <w:t xml:space="preserve"> des</w:t>
      </w:r>
      <w:r w:rsidRPr="006F0F1B">
        <w:rPr>
          <w:rFonts w:eastAsia="Calibri"/>
          <w:lang w:val="fr-FR"/>
        </w:rPr>
        <w:t xml:space="preserve"> dispositions permettant à un violeur d’épouser sa victime pour </w:t>
      </w:r>
      <w:r w:rsidRPr="006F0F1B">
        <w:rPr>
          <w:rFonts w:eastAsia="Calibri"/>
          <w:lang w:val="fr-FR"/>
        </w:rPr>
        <w:lastRenderedPageBreak/>
        <w:t xml:space="preserve">échapper aux poursuites judiciaires, ou </w:t>
      </w:r>
      <w:r w:rsidR="000022D8">
        <w:rPr>
          <w:rFonts w:eastAsia="Calibri"/>
          <w:lang w:val="fr-FR"/>
        </w:rPr>
        <w:t>des</w:t>
      </w:r>
      <w:r w:rsidRPr="006F0F1B">
        <w:rPr>
          <w:rFonts w:eastAsia="Calibri"/>
          <w:lang w:val="fr-FR"/>
        </w:rPr>
        <w:t xml:space="preserve"> lois qui excluent le viol conjugal de l’interdiction pénale de viol.</w:t>
      </w:r>
      <w:r w:rsidRPr="006F0F1B">
        <w:rPr>
          <w:rFonts w:eastAsia="Calibri"/>
          <w:color w:val="000000"/>
          <w:lang w:val="fr-FR"/>
        </w:rPr>
        <w:t xml:space="preserve"> Dans certains contextes, les hommes sont les seuls à pouvoir transmettre leur nationalité à leurs épouses étrangères et à leurs enfants. Cette inégalité de droit a des effets considérables sur les femmes et leurs enfants puisque la protection étatique accordée par la citoyenneté leur est de fait refusée</w:t>
      </w:r>
      <w:r w:rsidRPr="006F0F1B">
        <w:rPr>
          <w:rStyle w:val="FootnoteReference"/>
          <w:rFonts w:eastAsia="Calibri"/>
          <w:lang w:val="fr-FR"/>
        </w:rPr>
        <w:footnoteReference w:id="31"/>
      </w:r>
      <w:r w:rsidRPr="006F0F1B">
        <w:rPr>
          <w:rFonts w:eastAsia="Calibri"/>
          <w:color w:val="000000"/>
          <w:lang w:val="fr-FR"/>
        </w:rPr>
        <w:t xml:space="preserve">. </w:t>
      </w:r>
    </w:p>
    <w:p w:rsidR="006879D2" w:rsidRPr="006F0F1B" w:rsidRDefault="00896432" w:rsidP="00203C09">
      <w:pPr>
        <w:pStyle w:val="H1G"/>
        <w:rPr>
          <w:i/>
          <w:iCs/>
          <w:lang w:val="fr-FR"/>
        </w:rPr>
      </w:pPr>
      <w:bookmarkStart w:id="18" w:name="_Toc412190769"/>
      <w:bookmarkStart w:id="19" w:name="_Toc414009671"/>
      <w:r w:rsidRPr="006F0F1B">
        <w:rPr>
          <w:lang w:val="fr-FR"/>
        </w:rPr>
        <w:tab/>
        <w:t>C.</w:t>
      </w:r>
      <w:r w:rsidRPr="006F0F1B">
        <w:rPr>
          <w:lang w:val="fr-FR"/>
        </w:rPr>
        <w:tab/>
      </w:r>
      <w:r w:rsidR="006879D2" w:rsidRPr="006F0F1B">
        <w:rPr>
          <w:lang w:val="fr-FR"/>
        </w:rPr>
        <w:t xml:space="preserve">Les sources juridiques </w:t>
      </w:r>
      <w:r w:rsidR="00203C09">
        <w:rPr>
          <w:lang w:val="fr-FR"/>
        </w:rPr>
        <w:t>de</w:t>
      </w:r>
      <w:r w:rsidR="006879D2" w:rsidRPr="006F0F1B">
        <w:rPr>
          <w:lang w:val="fr-FR"/>
        </w:rPr>
        <w:t xml:space="preserve"> réglementation de la famille</w:t>
      </w:r>
      <w:bookmarkEnd w:id="18"/>
      <w:bookmarkEnd w:id="19"/>
    </w:p>
    <w:p w:rsidR="006879D2" w:rsidRPr="006F0F1B" w:rsidRDefault="006879D2" w:rsidP="008439F6">
      <w:pPr>
        <w:pStyle w:val="SingleTxtG"/>
        <w:numPr>
          <w:ilvl w:val="0"/>
          <w:numId w:val="33"/>
        </w:numPr>
        <w:ind w:left="1134" w:firstLine="0"/>
        <w:rPr>
          <w:rFonts w:eastAsia="Calibri"/>
          <w:lang w:val="fr-FR"/>
        </w:rPr>
      </w:pPr>
      <w:r w:rsidRPr="006F0F1B">
        <w:rPr>
          <w:rFonts w:eastAsia="Calibri"/>
          <w:lang w:val="fr-FR"/>
        </w:rPr>
        <w:t>La famille peut être réglementée dans diverses sources juridiques de l</w:t>
      </w:r>
      <w:r w:rsidR="00BC7BEE">
        <w:rPr>
          <w:rFonts w:eastAsia="Calibri"/>
          <w:lang w:val="fr-FR"/>
        </w:rPr>
        <w:t>’</w:t>
      </w:r>
      <w:r w:rsidR="00A86D3A" w:rsidRPr="00ED069E">
        <w:rPr>
          <w:rFonts w:eastAsia="Calibri"/>
          <w:lang w:val="fr-FR"/>
        </w:rPr>
        <w:t>État</w:t>
      </w:r>
      <w:r w:rsidRPr="006F0F1B">
        <w:rPr>
          <w:rFonts w:eastAsia="Calibri"/>
          <w:lang w:val="fr-FR"/>
        </w:rPr>
        <w:t xml:space="preserve"> comme dans les constitutions, les législations, les décisions judiciaires</w:t>
      </w:r>
      <w:r w:rsidR="008439F6">
        <w:rPr>
          <w:rFonts w:eastAsia="Calibri"/>
          <w:lang w:val="fr-FR"/>
        </w:rPr>
        <w:t>,</w:t>
      </w:r>
      <w:r w:rsidRPr="006F0F1B">
        <w:rPr>
          <w:rFonts w:eastAsia="Calibri"/>
          <w:lang w:val="fr-FR"/>
        </w:rPr>
        <w:t xml:space="preserve"> et les codes religieux et coutumiers. Toutefois, les </w:t>
      </w:r>
      <w:r w:rsidR="00A86D3A" w:rsidRPr="00ED069E">
        <w:rPr>
          <w:rFonts w:eastAsia="Calibri"/>
          <w:lang w:val="fr-FR"/>
        </w:rPr>
        <w:t>États</w:t>
      </w:r>
      <w:r w:rsidRPr="006F0F1B">
        <w:rPr>
          <w:rFonts w:eastAsia="Calibri"/>
          <w:lang w:val="fr-FR"/>
        </w:rPr>
        <w:t xml:space="preserve"> sont tenus</w:t>
      </w:r>
      <w:r w:rsidR="008439F6">
        <w:rPr>
          <w:rFonts w:eastAsia="Calibri"/>
          <w:lang w:val="fr-FR"/>
        </w:rPr>
        <w:t>,</w:t>
      </w:r>
      <w:r w:rsidRPr="006F0F1B">
        <w:rPr>
          <w:rFonts w:eastAsia="Calibri"/>
          <w:lang w:val="fr-FR"/>
        </w:rPr>
        <w:t xml:space="preserve"> en vertu du </w:t>
      </w:r>
      <w:r w:rsidR="00161EB5" w:rsidRPr="006F0F1B">
        <w:rPr>
          <w:rFonts w:eastAsia="Calibri"/>
          <w:lang w:val="fr-FR"/>
        </w:rPr>
        <w:t>droit internationa</w:t>
      </w:r>
      <w:r w:rsidR="00161EB5">
        <w:rPr>
          <w:rFonts w:eastAsia="Calibri"/>
          <w:lang w:val="fr-FR"/>
        </w:rPr>
        <w:t>l relatif aux droits de l’homme</w:t>
      </w:r>
      <w:r w:rsidR="008439F6">
        <w:rPr>
          <w:rFonts w:eastAsia="Calibri"/>
          <w:lang w:val="fr-FR"/>
        </w:rPr>
        <w:t>,</w:t>
      </w:r>
      <w:r w:rsidRPr="006F0F1B">
        <w:rPr>
          <w:rFonts w:eastAsia="Calibri"/>
          <w:lang w:val="fr-FR"/>
        </w:rPr>
        <w:t xml:space="preserve"> de respecter, protéger et réaliser le droit à l</w:t>
      </w:r>
      <w:r w:rsidR="00BC7BEE">
        <w:rPr>
          <w:rFonts w:eastAsia="Calibri"/>
          <w:lang w:val="fr-FR"/>
        </w:rPr>
        <w:t>’</w:t>
      </w:r>
      <w:r w:rsidRPr="006F0F1B">
        <w:rPr>
          <w:rFonts w:eastAsia="Calibri"/>
          <w:lang w:val="fr-FR"/>
        </w:rPr>
        <w:t xml:space="preserve">égalité des femmes dans la famille, quelle que soit la source juridique de réglementation. </w:t>
      </w:r>
    </w:p>
    <w:p w:rsidR="006879D2" w:rsidRPr="006F0F1B" w:rsidRDefault="006879D2" w:rsidP="000529DC">
      <w:pPr>
        <w:pStyle w:val="SingleTxtG"/>
        <w:numPr>
          <w:ilvl w:val="0"/>
          <w:numId w:val="33"/>
        </w:numPr>
        <w:ind w:left="1134" w:firstLine="0"/>
        <w:rPr>
          <w:rFonts w:eastAsia="Calibri"/>
          <w:lang w:val="fr-FR"/>
        </w:rPr>
      </w:pPr>
      <w:r w:rsidRPr="006F0F1B">
        <w:rPr>
          <w:rFonts w:eastAsia="Calibri"/>
          <w:color w:val="000000"/>
          <w:lang w:val="fr-FR"/>
        </w:rPr>
        <w:t xml:space="preserve">Les constitutions nationales sont généralement les lois suprêmes de la majorité des </w:t>
      </w:r>
      <w:r w:rsidR="00A86D3A" w:rsidRPr="00ED069E">
        <w:rPr>
          <w:rFonts w:eastAsia="Calibri"/>
          <w:color w:val="000000"/>
          <w:lang w:val="fr-FR"/>
        </w:rPr>
        <w:t>États</w:t>
      </w:r>
      <w:r w:rsidRPr="006F0F1B">
        <w:rPr>
          <w:rFonts w:eastAsia="Calibri"/>
          <w:color w:val="000000"/>
          <w:lang w:val="fr-FR"/>
        </w:rPr>
        <w:t xml:space="preserve"> et constituent le fondement de la structure institutionnelle et juridique de l’</w:t>
      </w:r>
      <w:r w:rsidR="00A86D3A" w:rsidRPr="00ED069E">
        <w:rPr>
          <w:rFonts w:eastAsia="Calibri"/>
          <w:color w:val="000000"/>
          <w:lang w:val="fr-FR"/>
        </w:rPr>
        <w:t>État</w:t>
      </w:r>
      <w:r w:rsidRPr="006F0F1B">
        <w:rPr>
          <w:rFonts w:eastAsia="Calibri"/>
          <w:color w:val="000000"/>
          <w:lang w:val="fr-FR"/>
        </w:rPr>
        <w:t xml:space="preserve">. Elles définissent aussi le cadre de l’élimination de la discrimination </w:t>
      </w:r>
      <w:r w:rsidR="000529DC">
        <w:rPr>
          <w:rFonts w:eastAsia="Calibri"/>
          <w:lang w:val="fr-FR"/>
        </w:rPr>
        <w:t>à l’égard d</w:t>
      </w:r>
      <w:r w:rsidRPr="006F0F1B">
        <w:rPr>
          <w:rFonts w:eastAsia="Calibri"/>
          <w:color w:val="000000"/>
          <w:lang w:val="fr-FR"/>
        </w:rPr>
        <w:t>es femmes. La présence d’une garantie constitutionnelle explicite de l’égalité entre les sexes est fondamentale</w:t>
      </w:r>
      <w:r w:rsidR="005B0E15">
        <w:rPr>
          <w:rFonts w:eastAsia="Calibri"/>
          <w:color w:val="000000"/>
          <w:lang w:val="fr-FR"/>
        </w:rPr>
        <w:t xml:space="preserve"> </w:t>
      </w:r>
      <w:r w:rsidRPr="006F0F1B">
        <w:rPr>
          <w:rFonts w:eastAsia="Calibri"/>
          <w:color w:val="000000"/>
          <w:lang w:val="fr-FR"/>
        </w:rPr>
        <w:t xml:space="preserve">pour lutter contre les discriminations </w:t>
      </w:r>
      <w:r w:rsidR="000529DC">
        <w:rPr>
          <w:rFonts w:eastAsia="Calibri"/>
          <w:lang w:val="fr-FR"/>
        </w:rPr>
        <w:t>à l’égard d</w:t>
      </w:r>
      <w:r w:rsidRPr="006F0F1B">
        <w:rPr>
          <w:rFonts w:eastAsia="Calibri"/>
          <w:color w:val="000000"/>
          <w:lang w:val="fr-FR"/>
        </w:rPr>
        <w:t xml:space="preserve">es femmes et </w:t>
      </w:r>
      <w:r w:rsidR="000529DC">
        <w:rPr>
          <w:rFonts w:eastAsia="Calibri"/>
          <w:color w:val="000000"/>
          <w:lang w:val="fr-FR"/>
        </w:rPr>
        <w:t>d</w:t>
      </w:r>
      <w:r w:rsidRPr="006F0F1B">
        <w:rPr>
          <w:rFonts w:eastAsia="Calibri"/>
          <w:color w:val="000000"/>
          <w:lang w:val="fr-FR"/>
        </w:rPr>
        <w:t xml:space="preserve">es filles dans la loi et la pratique. De nombreux pays ont déjà reconnu et consacré ce principe d’égalité </w:t>
      </w:r>
      <w:r w:rsidRPr="000D2D23">
        <w:rPr>
          <w:rFonts w:eastAsia="Calibri"/>
          <w:color w:val="000000"/>
          <w:lang w:val="fr-FR"/>
        </w:rPr>
        <w:t>dans leurs lois constitutionnelles</w:t>
      </w:r>
      <w:r w:rsidRPr="006F0F1B">
        <w:rPr>
          <w:rFonts w:eastAsia="Calibri"/>
          <w:color w:val="000000"/>
          <w:lang w:val="fr-FR"/>
        </w:rPr>
        <w:t xml:space="preserve"> et il est essentiel que celui-ci s’applique à tous les domaines de la loi, y compris le droit de la famille</w:t>
      </w:r>
      <w:r w:rsidRPr="006F0F1B">
        <w:rPr>
          <w:rStyle w:val="FootnoteReference"/>
          <w:rFonts w:eastAsia="Calibri"/>
          <w:lang w:val="fr-FR"/>
        </w:rPr>
        <w:footnoteReference w:id="32"/>
      </w:r>
      <w:r w:rsidRPr="006F0F1B">
        <w:rPr>
          <w:rFonts w:eastAsia="Calibri"/>
          <w:color w:val="000000"/>
          <w:lang w:val="fr-FR"/>
        </w:rPr>
        <w:t xml:space="preserve">. </w:t>
      </w:r>
    </w:p>
    <w:p w:rsidR="000D7F04" w:rsidRPr="006F0F1B" w:rsidRDefault="006879D2" w:rsidP="006F0F1B">
      <w:pPr>
        <w:pStyle w:val="SingleTxtG"/>
        <w:numPr>
          <w:ilvl w:val="0"/>
          <w:numId w:val="33"/>
        </w:numPr>
        <w:ind w:left="1134" w:firstLine="0"/>
        <w:rPr>
          <w:rFonts w:eastAsia="Calibri"/>
          <w:lang w:val="fr-FR"/>
        </w:rPr>
      </w:pPr>
      <w:r w:rsidRPr="006F0F1B">
        <w:rPr>
          <w:rFonts w:eastAsia="Calibri"/>
          <w:lang w:val="fr-FR"/>
        </w:rPr>
        <w:t xml:space="preserve">La réglementation du droit de la famille concerne principalement le statut personnel et les relations entre les membres de la famille. </w:t>
      </w:r>
    </w:p>
    <w:p w:rsidR="006879D2" w:rsidRPr="006F0F1B" w:rsidRDefault="006879D2" w:rsidP="0028253A">
      <w:pPr>
        <w:pStyle w:val="SingleTxtG"/>
        <w:numPr>
          <w:ilvl w:val="0"/>
          <w:numId w:val="33"/>
        </w:numPr>
        <w:ind w:left="1134" w:firstLine="0"/>
        <w:rPr>
          <w:rFonts w:eastAsia="Calibri"/>
          <w:lang w:val="fr-FR"/>
        </w:rPr>
      </w:pPr>
      <w:r w:rsidRPr="006F0F1B">
        <w:rPr>
          <w:rFonts w:eastAsia="Calibri"/>
          <w:lang w:val="fr-FR"/>
        </w:rPr>
        <w:t>Il y a également la régulation secondaire de la famille par l</w:t>
      </w:r>
      <w:r w:rsidR="00BC7BEE">
        <w:rPr>
          <w:rFonts w:eastAsia="Calibri"/>
          <w:lang w:val="fr-FR"/>
        </w:rPr>
        <w:t>’</w:t>
      </w:r>
      <w:r w:rsidR="00BC7BEE" w:rsidRPr="00ED069E">
        <w:rPr>
          <w:rFonts w:eastAsia="Calibri"/>
          <w:lang w:val="fr-FR"/>
        </w:rPr>
        <w:t>État</w:t>
      </w:r>
      <w:r w:rsidRPr="006F0F1B">
        <w:rPr>
          <w:rFonts w:eastAsia="Calibri"/>
          <w:lang w:val="fr-FR"/>
        </w:rPr>
        <w:t xml:space="preserve"> dans des domaines </w:t>
      </w:r>
      <w:r w:rsidR="0028253A">
        <w:rPr>
          <w:rFonts w:eastAsia="Calibri"/>
          <w:lang w:val="fr-FR"/>
        </w:rPr>
        <w:t>comme</w:t>
      </w:r>
      <w:r w:rsidRPr="006F0F1B">
        <w:rPr>
          <w:rFonts w:eastAsia="Calibri"/>
          <w:lang w:val="fr-FR"/>
        </w:rPr>
        <w:t xml:space="preserve"> la fiscalité, la sécurité sociale, les prestations de retraite, les pensions pour les survivants et le droit au regroupement familial.</w:t>
      </w:r>
    </w:p>
    <w:p w:rsidR="006879D2" w:rsidRPr="006F0F1B" w:rsidRDefault="006879D2" w:rsidP="00723CCE">
      <w:pPr>
        <w:pStyle w:val="SingleTxtG"/>
        <w:numPr>
          <w:ilvl w:val="0"/>
          <w:numId w:val="33"/>
        </w:numPr>
        <w:ind w:left="1134" w:firstLine="0"/>
        <w:rPr>
          <w:rFonts w:eastAsia="Calibri"/>
          <w:lang w:val="fr-FR"/>
        </w:rPr>
      </w:pPr>
      <w:r w:rsidRPr="006F0F1B">
        <w:rPr>
          <w:rFonts w:eastAsia="Calibri"/>
          <w:lang w:val="fr-FR"/>
        </w:rPr>
        <w:t>Les trois principaux systèmes de réglementation de la famille sont les systèmes juridiques de droit sécul</w:t>
      </w:r>
      <w:r w:rsidR="00723CCE">
        <w:rPr>
          <w:rFonts w:eastAsia="Calibri"/>
          <w:lang w:val="fr-FR"/>
        </w:rPr>
        <w:t>ier</w:t>
      </w:r>
      <w:r w:rsidRPr="006F0F1B">
        <w:rPr>
          <w:rFonts w:eastAsia="Calibri"/>
          <w:lang w:val="fr-FR"/>
        </w:rPr>
        <w:t xml:space="preserve">, </w:t>
      </w:r>
      <w:r w:rsidR="008439F6">
        <w:rPr>
          <w:rFonts w:eastAsia="Calibri"/>
          <w:lang w:val="fr-FR"/>
        </w:rPr>
        <w:t xml:space="preserve">ceux </w:t>
      </w:r>
      <w:r w:rsidRPr="006F0F1B">
        <w:rPr>
          <w:rFonts w:eastAsia="Calibri"/>
          <w:lang w:val="fr-FR"/>
        </w:rPr>
        <w:t>de droit religieux et les systèmes pluralistes.</w:t>
      </w:r>
    </w:p>
    <w:p w:rsidR="006879D2" w:rsidRPr="006F0F1B" w:rsidRDefault="00896432" w:rsidP="00723CCE">
      <w:pPr>
        <w:pStyle w:val="H23G"/>
        <w:rPr>
          <w:lang w:val="fr-FR"/>
        </w:rPr>
      </w:pPr>
      <w:bookmarkStart w:id="20" w:name="_Toc412190770"/>
      <w:r w:rsidRPr="006F0F1B">
        <w:rPr>
          <w:lang w:val="fr-FR"/>
        </w:rPr>
        <w:tab/>
        <w:t>1.</w:t>
      </w:r>
      <w:r w:rsidRPr="006F0F1B">
        <w:rPr>
          <w:lang w:val="fr-FR"/>
        </w:rPr>
        <w:tab/>
      </w:r>
      <w:r w:rsidR="006879D2" w:rsidRPr="006F0F1B">
        <w:rPr>
          <w:lang w:val="fr-FR"/>
        </w:rPr>
        <w:t>Le droit familial sécul</w:t>
      </w:r>
      <w:r w:rsidR="00723CCE">
        <w:rPr>
          <w:lang w:val="fr-FR"/>
        </w:rPr>
        <w:t>ier</w:t>
      </w:r>
      <w:bookmarkEnd w:id="20"/>
      <w:r w:rsidR="006879D2" w:rsidRPr="006F0F1B">
        <w:rPr>
          <w:lang w:val="fr-FR"/>
        </w:rPr>
        <w:t xml:space="preserve"> </w:t>
      </w:r>
    </w:p>
    <w:p w:rsidR="006879D2" w:rsidRPr="006F0F1B" w:rsidRDefault="006879D2" w:rsidP="00723CCE">
      <w:pPr>
        <w:pStyle w:val="SingleTxtG"/>
        <w:numPr>
          <w:ilvl w:val="0"/>
          <w:numId w:val="33"/>
        </w:numPr>
        <w:ind w:left="1134" w:firstLine="0"/>
        <w:rPr>
          <w:rFonts w:eastAsia="Calibri"/>
          <w:lang w:val="fr-FR"/>
        </w:rPr>
      </w:pPr>
      <w:r w:rsidRPr="006F0F1B">
        <w:rPr>
          <w:rFonts w:eastAsia="Calibri"/>
          <w:lang w:val="fr-FR"/>
        </w:rPr>
        <w:t>Dans la majorité des pays, le droit de la famille est réglementé dans des codes sécul</w:t>
      </w:r>
      <w:r w:rsidR="00723CCE">
        <w:rPr>
          <w:rFonts w:eastAsia="Calibri"/>
          <w:lang w:val="fr-FR"/>
        </w:rPr>
        <w:t>ier</w:t>
      </w:r>
      <w:r w:rsidRPr="006F0F1B">
        <w:rPr>
          <w:rFonts w:eastAsia="Calibri"/>
          <w:lang w:val="fr-FR"/>
        </w:rPr>
        <w:t>s établis par l’</w:t>
      </w:r>
      <w:r w:rsidR="008F4DBB" w:rsidRPr="00ED069E">
        <w:rPr>
          <w:rFonts w:eastAsia="Calibri"/>
          <w:lang w:val="fr-FR"/>
        </w:rPr>
        <w:t>État</w:t>
      </w:r>
      <w:r w:rsidRPr="006F0F1B">
        <w:rPr>
          <w:rFonts w:eastAsia="Calibri"/>
          <w:lang w:val="fr-FR"/>
        </w:rPr>
        <w:t>, dans des systèmes de droit civil ou de droit commun, et qui ne sont pas fondés sur des normes religieuses ou coutumières. Le droit familial sécul</w:t>
      </w:r>
      <w:r w:rsidR="00723CCE">
        <w:rPr>
          <w:rFonts w:eastAsia="Calibri"/>
          <w:lang w:val="fr-FR"/>
        </w:rPr>
        <w:t>ier</w:t>
      </w:r>
      <w:r w:rsidRPr="006F0F1B">
        <w:rPr>
          <w:rFonts w:eastAsia="Calibri"/>
          <w:lang w:val="fr-FR"/>
        </w:rPr>
        <w:t xml:space="preserve"> était à l’origine patriarcal. L</w:t>
      </w:r>
      <w:r w:rsidR="00BC7BEE">
        <w:rPr>
          <w:rFonts w:eastAsia="Calibri"/>
          <w:lang w:val="fr-FR"/>
        </w:rPr>
        <w:t>’</w:t>
      </w:r>
      <w:r w:rsidRPr="006F0F1B">
        <w:rPr>
          <w:rFonts w:eastAsia="Calibri"/>
          <w:lang w:val="fr-FR"/>
        </w:rPr>
        <w:t xml:space="preserve">existence même et juridique de la femme </w:t>
      </w:r>
      <w:r w:rsidRPr="00DA64F5">
        <w:rPr>
          <w:rFonts w:eastAsia="Calibri"/>
          <w:lang w:val="fr-FR"/>
        </w:rPr>
        <w:t xml:space="preserve">était «suspendue pendant le mariage, ou du moins </w:t>
      </w:r>
      <w:r w:rsidRPr="00E32163">
        <w:rPr>
          <w:rFonts w:eastAsia="Calibri"/>
          <w:lang w:val="fr-FR"/>
        </w:rPr>
        <w:t xml:space="preserve">incorporée et </w:t>
      </w:r>
      <w:r w:rsidR="00734850" w:rsidRPr="00273ABE">
        <w:rPr>
          <w:rFonts w:eastAsia="Calibri"/>
          <w:lang w:val="fr-FR"/>
        </w:rPr>
        <w:t xml:space="preserve">renfermée </w:t>
      </w:r>
      <w:r w:rsidRPr="00DA64F5">
        <w:rPr>
          <w:rFonts w:eastAsia="Calibri"/>
          <w:lang w:val="fr-FR"/>
        </w:rPr>
        <w:t>dans celle</w:t>
      </w:r>
      <w:r w:rsidRPr="00E32163">
        <w:rPr>
          <w:rFonts w:eastAsia="Calibri"/>
          <w:lang w:val="fr-FR"/>
        </w:rPr>
        <w:t xml:space="preserve"> du mari</w:t>
      </w:r>
      <w:r w:rsidRPr="00081D93">
        <w:rPr>
          <w:rStyle w:val="FootnoteReference"/>
          <w:rFonts w:eastAsia="Calibri"/>
          <w:lang w:val="fr-FR"/>
        </w:rPr>
        <w:footnoteReference w:id="33"/>
      </w:r>
      <w:r w:rsidRPr="00081D93">
        <w:rPr>
          <w:rFonts w:eastAsia="Calibri"/>
          <w:lang w:val="fr-FR"/>
        </w:rPr>
        <w:t>.</w:t>
      </w:r>
      <w:r w:rsidR="00203C09" w:rsidRPr="00081D93">
        <w:rPr>
          <w:rFonts w:eastAsia="Calibri"/>
          <w:lang w:val="fr-FR"/>
        </w:rPr>
        <w:t>»</w:t>
      </w:r>
      <w:r w:rsidRPr="006F0F1B">
        <w:rPr>
          <w:rFonts w:eastAsia="Calibri"/>
          <w:lang w:val="fr-FR"/>
        </w:rPr>
        <w:t xml:space="preserve"> Les femmes mariées n’avaient pas la capacité de conclure un contrat ou de posséder des biens de propriété et étaient </w:t>
      </w:r>
      <w:r w:rsidR="00734850">
        <w:rPr>
          <w:rFonts w:eastAsia="Calibri"/>
          <w:lang w:val="fr-FR"/>
        </w:rPr>
        <w:t xml:space="preserve">l’objet de </w:t>
      </w:r>
      <w:r w:rsidRPr="006F0F1B">
        <w:rPr>
          <w:rFonts w:eastAsia="Calibri"/>
          <w:lang w:val="fr-FR"/>
        </w:rPr>
        <w:t>discrimination concernant l’héritage, le divorce</w:t>
      </w:r>
      <w:r w:rsidR="008439F6">
        <w:rPr>
          <w:rFonts w:eastAsia="Calibri"/>
          <w:lang w:val="fr-FR"/>
        </w:rPr>
        <w:t>,</w:t>
      </w:r>
      <w:r w:rsidRPr="006F0F1B">
        <w:rPr>
          <w:rFonts w:eastAsia="Calibri"/>
          <w:lang w:val="fr-FR"/>
        </w:rPr>
        <w:t xml:space="preserve"> et la tutelle et la garde des enfants. En outre, les femmes étaient obligées de jurer obéissance à leur mari, et le viol conjugal </w:t>
      </w:r>
      <w:r w:rsidR="0028253A">
        <w:rPr>
          <w:rFonts w:eastAsia="Calibri"/>
          <w:lang w:val="fr-FR"/>
        </w:rPr>
        <w:t xml:space="preserve">et </w:t>
      </w:r>
      <w:r w:rsidRPr="006F0F1B">
        <w:rPr>
          <w:rFonts w:eastAsia="Calibri"/>
          <w:lang w:val="fr-FR"/>
        </w:rPr>
        <w:t>les coups disciplinaires étaient autorisés.</w:t>
      </w:r>
    </w:p>
    <w:p w:rsidR="006879D2" w:rsidRPr="006F0F1B" w:rsidRDefault="006879D2" w:rsidP="00BC0A77">
      <w:pPr>
        <w:pStyle w:val="SingleTxtG"/>
        <w:numPr>
          <w:ilvl w:val="0"/>
          <w:numId w:val="33"/>
        </w:numPr>
        <w:ind w:left="1134" w:firstLine="0"/>
        <w:rPr>
          <w:rFonts w:eastAsia="Calibri"/>
          <w:lang w:val="fr-FR"/>
        </w:rPr>
      </w:pPr>
      <w:r w:rsidRPr="006F0F1B">
        <w:rPr>
          <w:rFonts w:eastAsia="Calibri"/>
          <w:color w:val="000000"/>
          <w:lang w:val="fr-FR"/>
        </w:rPr>
        <w:t>Réformer le code de la famille est une voie essentielle pour inscrire</w:t>
      </w:r>
      <w:r w:rsidR="008439F6">
        <w:rPr>
          <w:rFonts w:eastAsia="Calibri"/>
          <w:color w:val="000000"/>
          <w:lang w:val="fr-FR"/>
        </w:rPr>
        <w:t>,</w:t>
      </w:r>
      <w:r w:rsidRPr="006F0F1B">
        <w:rPr>
          <w:rFonts w:eastAsia="Calibri"/>
          <w:color w:val="000000"/>
          <w:lang w:val="fr-FR"/>
        </w:rPr>
        <w:t xml:space="preserve"> dans la législation nationale</w:t>
      </w:r>
      <w:r w:rsidR="008439F6">
        <w:rPr>
          <w:rFonts w:eastAsia="Calibri"/>
          <w:color w:val="000000"/>
          <w:lang w:val="fr-FR"/>
        </w:rPr>
        <w:t>,</w:t>
      </w:r>
      <w:r w:rsidRPr="006F0F1B">
        <w:rPr>
          <w:rFonts w:eastAsia="Calibri"/>
          <w:color w:val="000000"/>
          <w:lang w:val="fr-FR"/>
        </w:rPr>
        <w:t xml:space="preserve"> le statut égalitaire des femmes </w:t>
      </w:r>
      <w:r w:rsidRPr="006F0F1B">
        <w:rPr>
          <w:rFonts w:eastAsia="Calibri"/>
          <w:lang w:val="fr-FR"/>
        </w:rPr>
        <w:t>dans le mariage et la structure familiale. Deux types de processus peuvent être observés en ce qui concerne le développement de l</w:t>
      </w:r>
      <w:r w:rsidR="00BC7BEE">
        <w:rPr>
          <w:rFonts w:eastAsia="Calibri"/>
          <w:lang w:val="fr-FR"/>
        </w:rPr>
        <w:t>’</w:t>
      </w:r>
      <w:r w:rsidRPr="006F0F1B">
        <w:rPr>
          <w:rFonts w:eastAsia="Calibri"/>
          <w:lang w:val="fr-FR"/>
        </w:rPr>
        <w:t xml:space="preserve">égalité des sexes dans le droit de la famille. </w:t>
      </w:r>
    </w:p>
    <w:p w:rsidR="006879D2" w:rsidRPr="006F0F1B" w:rsidRDefault="006879D2" w:rsidP="00723CCE">
      <w:pPr>
        <w:pStyle w:val="SingleTxtG"/>
        <w:numPr>
          <w:ilvl w:val="0"/>
          <w:numId w:val="33"/>
        </w:numPr>
        <w:ind w:left="1134" w:firstLine="0"/>
        <w:rPr>
          <w:rFonts w:eastAsia="Calibri"/>
          <w:lang w:val="fr-FR"/>
        </w:rPr>
      </w:pPr>
      <w:r w:rsidRPr="006F0F1B">
        <w:rPr>
          <w:rFonts w:eastAsia="Calibri"/>
          <w:lang w:val="fr-FR"/>
        </w:rPr>
        <w:lastRenderedPageBreak/>
        <w:t>Le premier processus est l</w:t>
      </w:r>
      <w:r w:rsidR="00BC7BEE">
        <w:rPr>
          <w:rFonts w:eastAsia="Calibri"/>
          <w:lang w:val="fr-FR"/>
        </w:rPr>
        <w:t>’</w:t>
      </w:r>
      <w:r w:rsidRPr="006F0F1B">
        <w:rPr>
          <w:rFonts w:eastAsia="Calibri"/>
          <w:lang w:val="fr-FR"/>
        </w:rPr>
        <w:t xml:space="preserve">élimination des lois familiales discriminatoires et le </w:t>
      </w:r>
      <w:r w:rsidRPr="00250230">
        <w:rPr>
          <w:rFonts w:eastAsia="Calibri"/>
          <w:lang w:val="fr-FR"/>
        </w:rPr>
        <w:t>développement</w:t>
      </w:r>
      <w:r w:rsidRPr="006F0F1B">
        <w:rPr>
          <w:rFonts w:eastAsia="Calibri"/>
          <w:lang w:val="fr-FR"/>
        </w:rPr>
        <w:t xml:space="preserve"> de l</w:t>
      </w:r>
      <w:r w:rsidR="00BC7BEE">
        <w:rPr>
          <w:rFonts w:eastAsia="Calibri"/>
          <w:lang w:val="fr-FR"/>
        </w:rPr>
        <w:t>’</w:t>
      </w:r>
      <w:r w:rsidRPr="006F0F1B">
        <w:rPr>
          <w:rFonts w:eastAsia="Calibri"/>
          <w:lang w:val="fr-FR"/>
        </w:rPr>
        <w:t>égalité des sexes au sein des systèmes de droit sécul</w:t>
      </w:r>
      <w:r w:rsidR="00723CCE">
        <w:rPr>
          <w:rFonts w:eastAsia="Calibri"/>
          <w:lang w:val="fr-FR"/>
        </w:rPr>
        <w:t>ier</w:t>
      </w:r>
      <w:r w:rsidRPr="006F0F1B">
        <w:rPr>
          <w:rFonts w:eastAsia="Calibri"/>
          <w:lang w:val="fr-FR"/>
        </w:rPr>
        <w:t>.</w:t>
      </w:r>
      <w:r w:rsidRPr="006F0F1B">
        <w:rPr>
          <w:rFonts w:eastAsia="Calibri"/>
          <w:color w:val="000000"/>
          <w:lang w:val="fr-FR"/>
        </w:rPr>
        <w:t xml:space="preserve"> </w:t>
      </w:r>
      <w:r w:rsidRPr="006F0F1B">
        <w:rPr>
          <w:rFonts w:eastAsia="Calibri"/>
          <w:lang w:val="fr-FR"/>
        </w:rPr>
        <w:t>Un tel processus de réforme de la loi dans quelques-uns de ces systèmes a eu lieu à partir de la fin du XIX</w:t>
      </w:r>
      <w:r w:rsidRPr="006F0F1B">
        <w:rPr>
          <w:rFonts w:eastAsia="Calibri"/>
          <w:vertAlign w:val="superscript"/>
          <w:lang w:val="fr-FR"/>
        </w:rPr>
        <w:t>e</w:t>
      </w:r>
      <w:r w:rsidR="005B0E15">
        <w:rPr>
          <w:rFonts w:eastAsia="Calibri"/>
          <w:lang w:val="fr-FR"/>
        </w:rPr>
        <w:t> </w:t>
      </w:r>
      <w:r w:rsidRPr="006F0F1B">
        <w:rPr>
          <w:rFonts w:eastAsia="Calibri"/>
          <w:lang w:val="fr-FR"/>
        </w:rPr>
        <w:t xml:space="preserve">siècle, période durant laquelle de nombreux </w:t>
      </w:r>
      <w:r w:rsidR="008F4DBB" w:rsidRPr="00ED069E">
        <w:rPr>
          <w:rFonts w:eastAsia="Calibri"/>
          <w:lang w:val="fr-FR"/>
        </w:rPr>
        <w:t>États</w:t>
      </w:r>
      <w:r w:rsidRPr="006F0F1B">
        <w:rPr>
          <w:rFonts w:eastAsia="Calibri"/>
          <w:lang w:val="fr-FR"/>
        </w:rPr>
        <w:t xml:space="preserve"> ont réformé </w:t>
      </w:r>
      <w:r w:rsidRPr="0016790D">
        <w:rPr>
          <w:rFonts w:eastAsia="Calibri"/>
          <w:lang w:val="fr-FR"/>
        </w:rPr>
        <w:t>leurs lois</w:t>
      </w:r>
      <w:r w:rsidRPr="006F0F1B">
        <w:rPr>
          <w:rFonts w:eastAsia="Calibri"/>
          <w:lang w:val="fr-FR"/>
        </w:rPr>
        <w:t xml:space="preserve"> sur la famille en séparant la religion de l’</w:t>
      </w:r>
      <w:r w:rsidR="008F4DBB" w:rsidRPr="00ED069E">
        <w:rPr>
          <w:rFonts w:eastAsia="Calibri"/>
          <w:lang w:val="fr-FR"/>
        </w:rPr>
        <w:t>État</w:t>
      </w:r>
      <w:r w:rsidRPr="006F0F1B">
        <w:rPr>
          <w:rFonts w:eastAsia="Calibri"/>
          <w:lang w:val="fr-FR"/>
        </w:rPr>
        <w:t xml:space="preserve"> et en introduisant des mesures d</w:t>
      </w:r>
      <w:r w:rsidR="00BC7BEE">
        <w:rPr>
          <w:rFonts w:eastAsia="Calibri"/>
          <w:lang w:val="fr-FR"/>
        </w:rPr>
        <w:t>’</w:t>
      </w:r>
      <w:r w:rsidRPr="006F0F1B">
        <w:rPr>
          <w:rFonts w:eastAsia="Calibri"/>
          <w:lang w:val="fr-FR"/>
        </w:rPr>
        <w:t xml:space="preserve">égalité pour les femmes dans le mariage et la famille, y compris le droit pour les femmes mariées de conclure un contrat, de posséder des biens de propriété, d’hériter, de divorcer, et d’avoir la tutelle et la garde des enfants, </w:t>
      </w:r>
      <w:r w:rsidR="007D3350" w:rsidRPr="006F0F1B">
        <w:rPr>
          <w:rFonts w:eastAsia="Calibri"/>
          <w:lang w:val="fr-FR"/>
        </w:rPr>
        <w:t xml:space="preserve">à </w:t>
      </w:r>
      <w:r w:rsidRPr="006F0F1B">
        <w:rPr>
          <w:rFonts w:eastAsia="Calibri"/>
          <w:lang w:val="fr-FR"/>
        </w:rPr>
        <w:t>égalité avec les hommes. De cette façon, les systèmes de droit familial sécul</w:t>
      </w:r>
      <w:r w:rsidR="00723CCE">
        <w:rPr>
          <w:rFonts w:eastAsia="Calibri"/>
          <w:lang w:val="fr-FR"/>
        </w:rPr>
        <w:t>ier</w:t>
      </w:r>
      <w:r w:rsidRPr="006F0F1B">
        <w:rPr>
          <w:rFonts w:eastAsia="Calibri"/>
          <w:lang w:val="fr-FR"/>
        </w:rPr>
        <w:t xml:space="preserve"> sont passés de systèmes patriarcaux à une approche plus égalitaire</w:t>
      </w:r>
      <w:r w:rsidR="00ED6029">
        <w:rPr>
          <w:rFonts w:eastAsia="Calibri"/>
          <w:lang w:val="fr-FR"/>
        </w:rPr>
        <w:t>,</w:t>
      </w:r>
      <w:r w:rsidRPr="006F0F1B">
        <w:rPr>
          <w:rFonts w:eastAsia="Calibri"/>
          <w:lang w:val="fr-FR"/>
        </w:rPr>
        <w:t xml:space="preserve"> qui représente aujourd</w:t>
      </w:r>
      <w:r w:rsidR="00BC7BEE">
        <w:rPr>
          <w:rFonts w:eastAsia="Calibri"/>
          <w:lang w:val="fr-FR"/>
        </w:rPr>
        <w:t>’</w:t>
      </w:r>
      <w:r w:rsidRPr="006F0F1B">
        <w:rPr>
          <w:rFonts w:eastAsia="Calibri"/>
          <w:lang w:val="fr-FR"/>
        </w:rPr>
        <w:t xml:space="preserve">hui les bonnes pratiques en </w:t>
      </w:r>
      <w:r w:rsidR="005903BC">
        <w:rPr>
          <w:rFonts w:eastAsia="Calibri"/>
          <w:lang w:val="fr-FR"/>
        </w:rPr>
        <w:t xml:space="preserve">garantissant </w:t>
      </w:r>
      <w:r w:rsidRPr="006F0F1B">
        <w:rPr>
          <w:rFonts w:eastAsia="Calibri"/>
          <w:lang w:val="fr-FR"/>
        </w:rPr>
        <w:t>l</w:t>
      </w:r>
      <w:r w:rsidR="00BC7BEE" w:rsidRPr="001D415A">
        <w:rPr>
          <w:rFonts w:eastAsia="Calibri"/>
          <w:lang w:val="fr-FR"/>
        </w:rPr>
        <w:t>’</w:t>
      </w:r>
      <w:r w:rsidRPr="006F0F1B">
        <w:rPr>
          <w:rFonts w:eastAsia="Calibri"/>
          <w:lang w:val="fr-FR"/>
        </w:rPr>
        <w:t xml:space="preserve">égalité des sexes dans la famille. Un exemple récent est celui de </w:t>
      </w:r>
      <w:r w:rsidRPr="00DA64F5">
        <w:rPr>
          <w:rFonts w:eastAsia="Calibri"/>
          <w:lang w:val="fr-FR"/>
        </w:rPr>
        <w:t>la loi sur le mariage en Chine en 2001,</w:t>
      </w:r>
      <w:r w:rsidRPr="006F0F1B">
        <w:rPr>
          <w:rFonts w:eastAsia="Calibri"/>
          <w:lang w:val="fr-FR"/>
        </w:rPr>
        <w:t xml:space="preserve"> qui a rendu nul tout mariage bigame ou tout mariage </w:t>
      </w:r>
      <w:r w:rsidR="007D3350" w:rsidRPr="006F0F1B">
        <w:rPr>
          <w:rFonts w:eastAsia="Calibri"/>
          <w:lang w:val="fr-FR"/>
        </w:rPr>
        <w:t>où</w:t>
      </w:r>
      <w:r w:rsidRPr="006F0F1B">
        <w:rPr>
          <w:rFonts w:eastAsia="Calibri"/>
          <w:lang w:val="fr-FR"/>
        </w:rPr>
        <w:t xml:space="preserve"> l’une des parties n’aurait pas atteint l’âge minimum légal matrimonial, abrogeant les normes patriarcales traditionalistes de la famille et affirmant l’égalité entre les sexes dans la famille</w:t>
      </w:r>
      <w:r w:rsidRPr="006F0F1B">
        <w:rPr>
          <w:rStyle w:val="FootnoteReference"/>
          <w:rFonts w:eastAsia="Calibri"/>
          <w:lang w:val="fr-FR"/>
        </w:rPr>
        <w:footnoteReference w:id="34"/>
      </w:r>
      <w:r w:rsidRPr="006F0F1B">
        <w:rPr>
          <w:rFonts w:eastAsia="Calibri"/>
          <w:lang w:val="fr-FR"/>
        </w:rPr>
        <w:t xml:space="preserve">. </w:t>
      </w:r>
    </w:p>
    <w:p w:rsidR="006879D2" w:rsidRPr="006F0F1B" w:rsidRDefault="006879D2" w:rsidP="00723CCE">
      <w:pPr>
        <w:pStyle w:val="SingleTxtG"/>
        <w:numPr>
          <w:ilvl w:val="0"/>
          <w:numId w:val="33"/>
        </w:numPr>
        <w:ind w:left="1134" w:firstLine="0"/>
        <w:rPr>
          <w:rFonts w:eastAsia="Calibri"/>
          <w:lang w:val="fr-FR"/>
        </w:rPr>
      </w:pPr>
      <w:r w:rsidRPr="006F0F1B">
        <w:rPr>
          <w:rFonts w:eastAsia="Calibri"/>
          <w:lang w:val="fr-FR"/>
        </w:rPr>
        <w:t>Le second processus est la transition d’une loi religieuse patriarcale familiale à un système de droit familial sécul</w:t>
      </w:r>
      <w:r w:rsidR="00723CCE">
        <w:rPr>
          <w:rFonts w:eastAsia="Calibri"/>
          <w:lang w:val="fr-FR"/>
        </w:rPr>
        <w:t>ie</w:t>
      </w:r>
      <w:r w:rsidRPr="006F0F1B">
        <w:rPr>
          <w:rFonts w:eastAsia="Calibri"/>
          <w:lang w:val="fr-FR"/>
        </w:rPr>
        <w:t>r qui prévoit l</w:t>
      </w:r>
      <w:r w:rsidR="00BC7BEE">
        <w:rPr>
          <w:rFonts w:eastAsia="Calibri"/>
          <w:lang w:val="fr-FR"/>
        </w:rPr>
        <w:t>’</w:t>
      </w:r>
      <w:r w:rsidRPr="006F0F1B">
        <w:rPr>
          <w:rFonts w:eastAsia="Calibri"/>
          <w:lang w:val="fr-FR"/>
        </w:rPr>
        <w:t>égalité des sexes dans la famille.</w:t>
      </w:r>
      <w:r w:rsidRPr="006F0F1B">
        <w:rPr>
          <w:rFonts w:eastAsia="Calibri"/>
          <w:color w:val="000000"/>
          <w:lang w:val="fr-FR"/>
        </w:rPr>
        <w:t xml:space="preserve"> </w:t>
      </w:r>
      <w:r w:rsidRPr="006F0F1B">
        <w:rPr>
          <w:rFonts w:eastAsia="Calibri"/>
          <w:lang w:val="fr-FR"/>
        </w:rPr>
        <w:t xml:space="preserve">Plusieurs </w:t>
      </w:r>
      <w:r w:rsidR="008F4DBB" w:rsidRPr="00ED069E">
        <w:rPr>
          <w:rFonts w:eastAsia="Calibri"/>
          <w:lang w:val="fr-FR"/>
        </w:rPr>
        <w:t>États</w:t>
      </w:r>
      <w:r w:rsidRPr="006F0F1B">
        <w:rPr>
          <w:rFonts w:eastAsia="Calibri"/>
          <w:lang w:val="fr-FR"/>
        </w:rPr>
        <w:t xml:space="preserve"> où le droit de la famille était </w:t>
      </w:r>
      <w:r w:rsidR="00BC0A77">
        <w:rPr>
          <w:rFonts w:eastAsia="Calibri"/>
          <w:lang w:val="fr-FR"/>
        </w:rPr>
        <w:t>fondé</w:t>
      </w:r>
      <w:r w:rsidR="00BC0A77" w:rsidRPr="006F0F1B">
        <w:rPr>
          <w:rFonts w:eastAsia="Calibri"/>
          <w:lang w:val="fr-FR"/>
        </w:rPr>
        <w:t xml:space="preserve"> </w:t>
      </w:r>
      <w:r w:rsidRPr="006F0F1B">
        <w:rPr>
          <w:rFonts w:eastAsia="Calibri"/>
          <w:lang w:val="fr-FR"/>
        </w:rPr>
        <w:t xml:space="preserve">sur des codes patriarcaux religieux ont introduit l’égalité pour les femmes dans la famille en annulant les normes religieuses et en </w:t>
      </w:r>
      <w:r w:rsidRPr="00250230">
        <w:rPr>
          <w:rFonts w:eastAsia="Calibri"/>
          <w:lang w:val="fr-FR"/>
        </w:rPr>
        <w:t>déplaçant</w:t>
      </w:r>
      <w:r w:rsidRPr="006F0F1B">
        <w:rPr>
          <w:rFonts w:eastAsia="Calibri"/>
          <w:lang w:val="fr-FR"/>
        </w:rPr>
        <w:t xml:space="preserve"> la réglementation des affaires familiales sous les codes sécul</w:t>
      </w:r>
      <w:r w:rsidR="00723CCE">
        <w:rPr>
          <w:rFonts w:eastAsia="Calibri"/>
          <w:lang w:val="fr-FR"/>
        </w:rPr>
        <w:t>ier</w:t>
      </w:r>
      <w:r w:rsidRPr="006F0F1B">
        <w:rPr>
          <w:rFonts w:eastAsia="Calibri"/>
          <w:lang w:val="fr-FR"/>
        </w:rPr>
        <w:t xml:space="preserve">s. Dans de nombreux pays européens, le droit familial était fondé sur les lois religieuses, principalement chrétiennes, et donc plaçant tous les mariages sous la juridiction religieuse. </w:t>
      </w:r>
      <w:r w:rsidR="008F4DBB" w:rsidRPr="00ED069E">
        <w:rPr>
          <w:rFonts w:eastAsia="Calibri"/>
          <w:lang w:val="fr-FR"/>
        </w:rPr>
        <w:t>À</w:t>
      </w:r>
      <w:r w:rsidRPr="006F0F1B">
        <w:rPr>
          <w:rFonts w:eastAsia="Calibri"/>
          <w:lang w:val="fr-FR"/>
        </w:rPr>
        <w:t xml:space="preserve"> la fin du XIX</w:t>
      </w:r>
      <w:r w:rsidRPr="006F0F1B">
        <w:rPr>
          <w:rFonts w:eastAsia="Calibri"/>
          <w:vertAlign w:val="superscript"/>
          <w:lang w:val="fr-FR"/>
        </w:rPr>
        <w:t>e</w:t>
      </w:r>
      <w:r w:rsidR="005B0E15">
        <w:rPr>
          <w:rFonts w:eastAsia="Calibri"/>
          <w:lang w:val="fr-FR"/>
        </w:rPr>
        <w:t> </w:t>
      </w:r>
      <w:r w:rsidRPr="006F0F1B">
        <w:rPr>
          <w:rFonts w:eastAsia="Calibri"/>
          <w:lang w:val="fr-FR"/>
        </w:rPr>
        <w:t>siècle, toutes les questions relatives à la famille ont été placées sous la juridiction sécul</w:t>
      </w:r>
      <w:r w:rsidR="00723CCE">
        <w:rPr>
          <w:rFonts w:eastAsia="Calibri"/>
          <w:lang w:val="fr-FR"/>
        </w:rPr>
        <w:t>ière</w:t>
      </w:r>
      <w:r w:rsidRPr="006F0F1B">
        <w:rPr>
          <w:rFonts w:eastAsia="Calibri"/>
          <w:lang w:val="fr-FR"/>
        </w:rPr>
        <w:t xml:space="preserve"> de l’</w:t>
      </w:r>
      <w:r w:rsidR="008F4DBB" w:rsidRPr="00ED069E">
        <w:rPr>
          <w:rFonts w:eastAsia="Calibri"/>
          <w:lang w:val="fr-FR"/>
        </w:rPr>
        <w:t>État</w:t>
      </w:r>
      <w:r w:rsidRPr="006F0F1B">
        <w:rPr>
          <w:rFonts w:eastAsia="Calibri"/>
          <w:lang w:val="fr-FR"/>
        </w:rPr>
        <w:t xml:space="preserve">, retirant donc l’hégémonie religieuse dans ce domaine. </w:t>
      </w:r>
    </w:p>
    <w:p w:rsidR="006879D2" w:rsidRPr="006F0F1B" w:rsidRDefault="0028253A" w:rsidP="00723CCE">
      <w:pPr>
        <w:pStyle w:val="SingleTxtG"/>
        <w:numPr>
          <w:ilvl w:val="0"/>
          <w:numId w:val="33"/>
        </w:numPr>
        <w:ind w:left="1134" w:firstLine="0"/>
        <w:rPr>
          <w:rFonts w:eastAsia="Calibri"/>
          <w:lang w:val="fr-FR"/>
        </w:rPr>
      </w:pPr>
      <w:r>
        <w:rPr>
          <w:rFonts w:eastAsia="Calibri"/>
          <w:lang w:val="fr-FR"/>
        </w:rPr>
        <w:t>D</w:t>
      </w:r>
      <w:r w:rsidR="006879D2" w:rsidRPr="006F0F1B">
        <w:rPr>
          <w:rFonts w:eastAsia="Calibri"/>
          <w:lang w:val="fr-FR"/>
        </w:rPr>
        <w:t>ans certains systèmes de droit familial sécul</w:t>
      </w:r>
      <w:r w:rsidR="00723CCE">
        <w:rPr>
          <w:rFonts w:eastAsia="Calibri"/>
          <w:lang w:val="fr-FR"/>
        </w:rPr>
        <w:t>ier</w:t>
      </w:r>
      <w:r w:rsidR="006879D2" w:rsidRPr="006F0F1B">
        <w:rPr>
          <w:rFonts w:eastAsia="Calibri"/>
          <w:lang w:val="fr-FR"/>
        </w:rPr>
        <w:t xml:space="preserve">, des éléments discriminatoires persistent, comme </w:t>
      </w:r>
      <w:r w:rsidR="007D3350" w:rsidRPr="006F0F1B">
        <w:rPr>
          <w:rFonts w:eastAsia="Calibri"/>
          <w:lang w:val="fr-FR"/>
        </w:rPr>
        <w:t>un</w:t>
      </w:r>
      <w:r w:rsidR="006879D2" w:rsidRPr="006F0F1B">
        <w:rPr>
          <w:rFonts w:eastAsia="Calibri"/>
          <w:lang w:val="fr-FR"/>
        </w:rPr>
        <w:t xml:space="preserve"> âge minimum légal de mariage inférieur pour les filles, </w:t>
      </w:r>
      <w:r w:rsidR="00ED6029">
        <w:rPr>
          <w:rFonts w:eastAsia="Calibri"/>
          <w:lang w:val="fr-FR"/>
        </w:rPr>
        <w:t xml:space="preserve">et </w:t>
      </w:r>
      <w:r w:rsidR="006879D2" w:rsidRPr="006F0F1B">
        <w:rPr>
          <w:rFonts w:eastAsia="Calibri"/>
          <w:lang w:val="fr-FR"/>
        </w:rPr>
        <w:t xml:space="preserve">dans les droits de succession, dans le divorce et dans la reconnaissance des couples de même sexe. </w:t>
      </w:r>
    </w:p>
    <w:p w:rsidR="006879D2" w:rsidRPr="006F0F1B" w:rsidRDefault="006879D2" w:rsidP="00723CCE">
      <w:pPr>
        <w:pStyle w:val="SingleTxtG"/>
        <w:numPr>
          <w:ilvl w:val="0"/>
          <w:numId w:val="33"/>
        </w:numPr>
        <w:ind w:left="1134" w:firstLine="0"/>
        <w:rPr>
          <w:rFonts w:eastAsia="Calibri"/>
          <w:lang w:val="fr-FR"/>
        </w:rPr>
      </w:pPr>
      <w:r w:rsidRPr="006F0F1B">
        <w:rPr>
          <w:rFonts w:eastAsia="Calibri"/>
          <w:lang w:val="fr-FR"/>
        </w:rPr>
        <w:t>En outre, certains systèmes juridiques de droit familial sécul</w:t>
      </w:r>
      <w:r w:rsidR="00723CCE">
        <w:rPr>
          <w:rFonts w:eastAsia="Calibri"/>
          <w:lang w:val="fr-FR"/>
        </w:rPr>
        <w:t>ier</w:t>
      </w:r>
      <w:r w:rsidRPr="006F0F1B">
        <w:rPr>
          <w:rFonts w:eastAsia="Calibri"/>
          <w:lang w:val="fr-FR"/>
        </w:rPr>
        <w:t xml:space="preserve"> autorisent que la juridiction des questions relatives au droit de la famille soit décidé dans des systèmes de droit parallèle</w:t>
      </w:r>
      <w:r w:rsidR="00BC0A77">
        <w:rPr>
          <w:rFonts w:eastAsia="Calibri"/>
          <w:lang w:val="fr-FR"/>
        </w:rPr>
        <w:t xml:space="preserve">, </w:t>
      </w:r>
      <w:r w:rsidRPr="006F0F1B">
        <w:rPr>
          <w:rFonts w:eastAsia="Calibri"/>
          <w:lang w:val="fr-FR"/>
        </w:rPr>
        <w:t>religieux ou coutumier, qu’ils soient formels ou informels. Les implications pour le droit à l</w:t>
      </w:r>
      <w:r w:rsidR="00BC7BEE">
        <w:rPr>
          <w:rFonts w:eastAsia="Calibri"/>
          <w:lang w:val="fr-FR"/>
        </w:rPr>
        <w:t>’</w:t>
      </w:r>
      <w:r w:rsidRPr="006F0F1B">
        <w:rPr>
          <w:rFonts w:eastAsia="Calibri"/>
          <w:lang w:val="fr-FR"/>
        </w:rPr>
        <w:t xml:space="preserve">égalité des femmes dans ce type de systèmes sont abordées </w:t>
      </w:r>
      <w:r w:rsidRPr="00250230">
        <w:rPr>
          <w:rFonts w:eastAsia="Calibri"/>
          <w:lang w:val="fr-FR"/>
        </w:rPr>
        <w:t>dans les sections traitant</w:t>
      </w:r>
      <w:r w:rsidRPr="0016790D">
        <w:rPr>
          <w:rFonts w:eastAsia="Calibri"/>
          <w:lang w:val="fr-FR"/>
        </w:rPr>
        <w:t xml:space="preserve"> des systèmes juridiques pluralistes.</w:t>
      </w:r>
    </w:p>
    <w:p w:rsidR="006879D2" w:rsidRPr="006F0F1B" w:rsidRDefault="00896432" w:rsidP="00896432">
      <w:pPr>
        <w:pStyle w:val="H23G"/>
        <w:rPr>
          <w:lang w:val="fr-FR"/>
        </w:rPr>
      </w:pPr>
      <w:bookmarkStart w:id="21" w:name="_Toc412190771"/>
      <w:r w:rsidRPr="006F0F1B">
        <w:rPr>
          <w:lang w:val="fr-FR"/>
        </w:rPr>
        <w:tab/>
        <w:t>2.</w:t>
      </w:r>
      <w:r w:rsidRPr="006F0F1B">
        <w:rPr>
          <w:lang w:val="fr-FR"/>
        </w:rPr>
        <w:tab/>
      </w:r>
      <w:r w:rsidR="006879D2" w:rsidRPr="006F0F1B">
        <w:rPr>
          <w:lang w:val="fr-FR"/>
        </w:rPr>
        <w:t xml:space="preserve">Les systèmes de droit familial religieux </w:t>
      </w:r>
      <w:bookmarkEnd w:id="21"/>
      <w:r w:rsidR="006879D2" w:rsidRPr="006F0F1B">
        <w:rPr>
          <w:lang w:val="fr-FR"/>
        </w:rPr>
        <w:t>imposé par l’</w:t>
      </w:r>
      <w:r w:rsidR="008F4DBB" w:rsidRPr="00ED069E">
        <w:rPr>
          <w:lang w:val="fr-FR"/>
        </w:rPr>
        <w:t>État</w:t>
      </w:r>
    </w:p>
    <w:p w:rsidR="006879D2" w:rsidRPr="006F40D3" w:rsidRDefault="006879D2" w:rsidP="00723CCE">
      <w:pPr>
        <w:pStyle w:val="SingleTxtG"/>
        <w:numPr>
          <w:ilvl w:val="0"/>
          <w:numId w:val="33"/>
        </w:numPr>
        <w:ind w:left="1134" w:firstLine="0"/>
        <w:rPr>
          <w:rFonts w:eastAsia="Calibri"/>
          <w:lang w:val="fr-FR"/>
        </w:rPr>
      </w:pPr>
      <w:r w:rsidRPr="006F0F1B">
        <w:rPr>
          <w:rFonts w:eastAsia="Calibri"/>
          <w:lang w:val="fr-FR"/>
        </w:rPr>
        <w:t xml:space="preserve">Plusieurs </w:t>
      </w:r>
      <w:r w:rsidR="008F4DBB" w:rsidRPr="00ED069E">
        <w:rPr>
          <w:rFonts w:eastAsia="Calibri"/>
          <w:lang w:val="fr-FR"/>
        </w:rPr>
        <w:t>États</w:t>
      </w:r>
      <w:r w:rsidRPr="006F0F1B">
        <w:rPr>
          <w:rFonts w:eastAsia="Calibri"/>
          <w:lang w:val="fr-FR"/>
        </w:rPr>
        <w:t xml:space="preserve"> ne disposent pas d</w:t>
      </w:r>
      <w:r w:rsidRPr="0016790D">
        <w:rPr>
          <w:rFonts w:eastAsia="Calibri"/>
          <w:lang w:val="fr-FR"/>
        </w:rPr>
        <w:t>e code de la famille de droit sécul</w:t>
      </w:r>
      <w:r w:rsidR="00723CCE">
        <w:rPr>
          <w:rFonts w:eastAsia="Calibri"/>
          <w:lang w:val="fr-FR"/>
        </w:rPr>
        <w:t>ier</w:t>
      </w:r>
      <w:r w:rsidRPr="006F0F1B">
        <w:rPr>
          <w:rFonts w:eastAsia="Calibri"/>
          <w:lang w:val="fr-FR"/>
        </w:rPr>
        <w:t xml:space="preserve"> et régissent le statut personnel soit en intégrant les lois religieuses relatives à la famille dans les dispositions constitutionnelles ou législatives, soit </w:t>
      </w:r>
      <w:r w:rsidRPr="0016790D">
        <w:rPr>
          <w:rFonts w:eastAsia="Calibri"/>
          <w:lang w:val="fr-FR"/>
        </w:rPr>
        <w:t>en déléguant compétence sur le statut</w:t>
      </w:r>
      <w:r w:rsidRPr="006F0F1B">
        <w:rPr>
          <w:rFonts w:eastAsia="Calibri"/>
          <w:lang w:val="fr-FR"/>
        </w:rPr>
        <w:t xml:space="preserve"> personnel aux autorités religieuses ou aux tribunaux religieux afin d’appliquer les codes de la famille issus des textes sacrés. Actuellement, </w:t>
      </w:r>
      <w:r w:rsidRPr="00CC0FB5">
        <w:rPr>
          <w:rFonts w:eastAsia="Calibri"/>
          <w:lang w:val="fr-FR"/>
        </w:rPr>
        <w:t>un grand nombre d</w:t>
      </w:r>
      <w:r w:rsidR="00BC7BEE" w:rsidRPr="00CC0FB5">
        <w:rPr>
          <w:rFonts w:eastAsia="Calibri"/>
          <w:lang w:val="fr-FR"/>
        </w:rPr>
        <w:t>’</w:t>
      </w:r>
      <w:r w:rsidR="008F4DBB" w:rsidRPr="00CC0FB5">
        <w:rPr>
          <w:rFonts w:eastAsia="Calibri"/>
          <w:lang w:val="fr-FR"/>
        </w:rPr>
        <w:t>États</w:t>
      </w:r>
      <w:r w:rsidRPr="00273ABE">
        <w:rPr>
          <w:rFonts w:eastAsia="Calibri"/>
          <w:lang w:val="fr-FR"/>
        </w:rPr>
        <w:t xml:space="preserve"> </w:t>
      </w:r>
      <w:r w:rsidR="008216BE" w:rsidRPr="00273ABE">
        <w:rPr>
          <w:rFonts w:eastAsia="Calibri"/>
          <w:lang w:val="fr-FR"/>
        </w:rPr>
        <w:t>ayant l’islam comme religion d’État</w:t>
      </w:r>
      <w:r w:rsidRPr="00CC0FB5">
        <w:rPr>
          <w:rFonts w:eastAsia="Calibri"/>
          <w:lang w:val="fr-FR"/>
        </w:rPr>
        <w:t xml:space="preserve">, notamment les </w:t>
      </w:r>
      <w:r w:rsidR="00E42A5B" w:rsidRPr="00273ABE">
        <w:rPr>
          <w:rFonts w:eastAsia="Calibri"/>
          <w:lang w:val="fr-FR"/>
        </w:rPr>
        <w:t>r</w:t>
      </w:r>
      <w:r w:rsidRPr="00273ABE">
        <w:rPr>
          <w:rFonts w:eastAsia="Calibri"/>
          <w:lang w:val="fr-FR"/>
        </w:rPr>
        <w:t xml:space="preserve">épubliques </w:t>
      </w:r>
      <w:r w:rsidR="00093005" w:rsidRPr="00273ABE">
        <w:rPr>
          <w:rFonts w:eastAsia="Calibri"/>
          <w:lang w:val="fr-FR"/>
        </w:rPr>
        <w:t>i</w:t>
      </w:r>
      <w:r w:rsidRPr="00273ABE">
        <w:rPr>
          <w:rFonts w:eastAsia="Calibri"/>
          <w:lang w:val="fr-FR"/>
        </w:rPr>
        <w:t xml:space="preserve">slamiques et les </w:t>
      </w:r>
      <w:r w:rsidR="00E42A5B" w:rsidRPr="00273ABE">
        <w:rPr>
          <w:rFonts w:eastAsia="Calibri"/>
          <w:lang w:val="fr-FR"/>
        </w:rPr>
        <w:t>r</w:t>
      </w:r>
      <w:r w:rsidRPr="00273ABE">
        <w:rPr>
          <w:rFonts w:eastAsia="Calibri"/>
          <w:lang w:val="fr-FR"/>
        </w:rPr>
        <w:t xml:space="preserve">épubliques </w:t>
      </w:r>
      <w:r w:rsidR="00093005" w:rsidRPr="00273ABE">
        <w:rPr>
          <w:rFonts w:eastAsia="Calibri"/>
          <w:lang w:val="fr-FR"/>
        </w:rPr>
        <w:t>a</w:t>
      </w:r>
      <w:r w:rsidRPr="00273ABE">
        <w:rPr>
          <w:rFonts w:eastAsia="Calibri"/>
          <w:lang w:val="fr-FR"/>
        </w:rPr>
        <w:t>rabes</w:t>
      </w:r>
      <w:r w:rsidRPr="006F0F1B">
        <w:rPr>
          <w:rFonts w:eastAsia="Calibri"/>
          <w:lang w:val="fr-FR"/>
        </w:rPr>
        <w:t xml:space="preserve">, régissent le statut personnel de tous les citoyens en appliquant la loi islamique issue du Coran et de la </w:t>
      </w:r>
      <w:r w:rsidR="00BD0848">
        <w:rPr>
          <w:rFonts w:eastAsia="Calibri"/>
          <w:lang w:val="fr-FR"/>
        </w:rPr>
        <w:t>s</w:t>
      </w:r>
      <w:r w:rsidRPr="00BD0848">
        <w:rPr>
          <w:rFonts w:eastAsia="Calibri"/>
          <w:lang w:val="fr-FR"/>
        </w:rPr>
        <w:t>unna.</w:t>
      </w:r>
      <w:r w:rsidRPr="006F0F1B">
        <w:rPr>
          <w:rFonts w:eastAsia="Calibri"/>
          <w:lang w:val="fr-FR"/>
        </w:rPr>
        <w:t xml:space="preserve"> Bien que la notion d</w:t>
      </w:r>
      <w:r w:rsidR="00BC7BEE">
        <w:rPr>
          <w:rFonts w:eastAsia="Calibri"/>
          <w:lang w:val="fr-FR"/>
        </w:rPr>
        <w:t>’</w:t>
      </w:r>
      <w:r w:rsidRPr="006F0F1B">
        <w:rPr>
          <w:rFonts w:eastAsia="Calibri"/>
          <w:lang w:val="fr-FR"/>
        </w:rPr>
        <w:t xml:space="preserve">égalité des sexes devant la loi soit souvent inscrite dans leur constitution, certains </w:t>
      </w:r>
      <w:r w:rsidR="002808B8" w:rsidRPr="00ED069E">
        <w:rPr>
          <w:rFonts w:eastAsia="Calibri"/>
          <w:lang w:val="fr-FR"/>
        </w:rPr>
        <w:t>États</w:t>
      </w:r>
      <w:r w:rsidRPr="006F0F1B">
        <w:rPr>
          <w:rFonts w:eastAsia="Calibri"/>
          <w:lang w:val="fr-FR"/>
        </w:rPr>
        <w:t xml:space="preserve"> précisent que </w:t>
      </w:r>
      <w:r w:rsidRPr="005903BC">
        <w:rPr>
          <w:rFonts w:eastAsia="Calibri"/>
          <w:lang w:val="fr-FR"/>
        </w:rPr>
        <w:t xml:space="preserve">cette </w:t>
      </w:r>
      <w:r w:rsidR="005903BC" w:rsidRPr="00273ABE">
        <w:rPr>
          <w:rFonts w:eastAsia="Calibri"/>
          <w:lang w:val="fr-FR"/>
        </w:rPr>
        <w:t xml:space="preserve">égalité </w:t>
      </w:r>
      <w:r w:rsidRPr="005903BC">
        <w:rPr>
          <w:rFonts w:eastAsia="Calibri"/>
          <w:lang w:val="fr-FR"/>
        </w:rPr>
        <w:t>ne</w:t>
      </w:r>
      <w:r w:rsidRPr="006F0F1B">
        <w:rPr>
          <w:rFonts w:eastAsia="Calibri"/>
          <w:lang w:val="fr-FR"/>
        </w:rPr>
        <w:t xml:space="preserve"> s’applique pas aux lois régissant la famille, le statut matrimonial et personnel. </w:t>
      </w:r>
      <w:r w:rsidRPr="006F40D3">
        <w:rPr>
          <w:rFonts w:eastAsia="Calibri"/>
          <w:lang w:val="fr-FR"/>
        </w:rPr>
        <w:t xml:space="preserve">Certains </w:t>
      </w:r>
      <w:r w:rsidR="002808B8" w:rsidRPr="006F40D3">
        <w:rPr>
          <w:rFonts w:eastAsia="Calibri"/>
          <w:lang w:val="fr-FR"/>
        </w:rPr>
        <w:t>États</w:t>
      </w:r>
      <w:r w:rsidRPr="006F40D3">
        <w:rPr>
          <w:rFonts w:eastAsia="Calibri"/>
          <w:lang w:val="fr-FR"/>
        </w:rPr>
        <w:t xml:space="preserve"> reconnaissant la compétence juridique d’une religion majoritaire </w:t>
      </w:r>
      <w:r w:rsidRPr="007F13DC">
        <w:rPr>
          <w:rFonts w:eastAsia="Calibri"/>
          <w:lang w:val="fr-FR"/>
        </w:rPr>
        <w:t>dans l</w:t>
      </w:r>
      <w:r w:rsidR="00BC7BEE" w:rsidRPr="007F13DC">
        <w:rPr>
          <w:rFonts w:eastAsia="Calibri"/>
          <w:lang w:val="fr-FR"/>
        </w:rPr>
        <w:t>’</w:t>
      </w:r>
      <w:r w:rsidR="002808B8" w:rsidRPr="007F13DC">
        <w:rPr>
          <w:rFonts w:eastAsia="Calibri"/>
          <w:lang w:val="fr-FR"/>
        </w:rPr>
        <w:t>État</w:t>
      </w:r>
      <w:r w:rsidRPr="007F13DC">
        <w:rPr>
          <w:rFonts w:eastAsia="Calibri"/>
          <w:lang w:val="fr-FR"/>
        </w:rPr>
        <w:t xml:space="preserve"> </w:t>
      </w:r>
      <w:r w:rsidR="00B15482" w:rsidRPr="00273ABE">
        <w:rPr>
          <w:rFonts w:eastAsia="Calibri"/>
          <w:lang w:val="fr-FR"/>
        </w:rPr>
        <w:t>admettent</w:t>
      </w:r>
      <w:r w:rsidR="00B15482" w:rsidRPr="007F13DC">
        <w:rPr>
          <w:rFonts w:eastAsia="Calibri"/>
          <w:lang w:val="fr-FR"/>
        </w:rPr>
        <w:t xml:space="preserve"> </w:t>
      </w:r>
      <w:r w:rsidRPr="007F13DC">
        <w:rPr>
          <w:rFonts w:eastAsia="Calibri"/>
          <w:lang w:val="fr-FR"/>
        </w:rPr>
        <w:t xml:space="preserve">aussi </w:t>
      </w:r>
      <w:r w:rsidR="00B15482" w:rsidRPr="00273ABE">
        <w:rPr>
          <w:rFonts w:eastAsia="Calibri"/>
          <w:lang w:val="fr-FR"/>
        </w:rPr>
        <w:t>que des religions non majoritaires aient compétence sur leurs propres communautés de fidèles</w:t>
      </w:r>
      <w:r w:rsidRPr="007F13DC">
        <w:rPr>
          <w:rFonts w:eastAsia="Calibri"/>
          <w:lang w:val="fr-FR"/>
        </w:rPr>
        <w:t>, comme</w:t>
      </w:r>
      <w:r w:rsidRPr="006F40D3">
        <w:rPr>
          <w:rFonts w:eastAsia="Calibri"/>
          <w:lang w:val="fr-FR"/>
        </w:rPr>
        <w:t xml:space="preserve"> par exemple au Liban (majorité musulmane), en Inde (majorité hindoue) ou en Israël majorité juive).</w:t>
      </w:r>
    </w:p>
    <w:p w:rsidR="006879D2" w:rsidRPr="006F0F1B" w:rsidRDefault="006879D2" w:rsidP="008D4793">
      <w:pPr>
        <w:pStyle w:val="SingleTxtG"/>
        <w:numPr>
          <w:ilvl w:val="0"/>
          <w:numId w:val="33"/>
        </w:numPr>
        <w:ind w:left="1134" w:firstLine="0"/>
        <w:rPr>
          <w:rFonts w:eastAsia="Calibri"/>
          <w:lang w:val="fr-FR"/>
        </w:rPr>
      </w:pPr>
      <w:r w:rsidRPr="006F0F1B">
        <w:rPr>
          <w:rFonts w:eastAsia="Calibri"/>
          <w:lang w:val="fr-FR"/>
        </w:rPr>
        <w:lastRenderedPageBreak/>
        <w:t xml:space="preserve">Certains </w:t>
      </w:r>
      <w:r w:rsidR="002808B8" w:rsidRPr="00ED069E">
        <w:rPr>
          <w:rFonts w:eastAsia="Calibri"/>
          <w:lang w:val="fr-FR"/>
        </w:rPr>
        <w:t>États</w:t>
      </w:r>
      <w:r w:rsidRPr="006F0F1B">
        <w:rPr>
          <w:rFonts w:eastAsia="Calibri"/>
          <w:lang w:val="fr-FR"/>
        </w:rPr>
        <w:t xml:space="preserve"> appliquant le droit religieux ou coutumier pour régir le statut personnel ont renforcé les interdictions traditionnelles de l</w:t>
      </w:r>
      <w:r w:rsidR="00BC7BEE">
        <w:rPr>
          <w:rFonts w:eastAsia="Calibri"/>
          <w:lang w:val="fr-FR"/>
        </w:rPr>
        <w:t>’</w:t>
      </w:r>
      <w:r w:rsidRPr="006F0F1B">
        <w:rPr>
          <w:rFonts w:eastAsia="Calibri"/>
          <w:lang w:val="fr-FR"/>
        </w:rPr>
        <w:t>adultère en le criminalisant. L</w:t>
      </w:r>
      <w:r w:rsidR="00BC7BEE">
        <w:rPr>
          <w:rFonts w:eastAsia="Calibri"/>
          <w:lang w:val="fr-FR"/>
        </w:rPr>
        <w:t>’</w:t>
      </w:r>
      <w:r w:rsidRPr="006F0F1B">
        <w:rPr>
          <w:rFonts w:eastAsia="Calibri"/>
          <w:lang w:val="fr-FR"/>
        </w:rPr>
        <w:t>adultère, qui est défini comme toute relation sexuelle en dehors du mariage, est sévèrement puni, allant jusqu</w:t>
      </w:r>
      <w:r w:rsidR="00BC7BEE">
        <w:rPr>
          <w:rFonts w:eastAsia="Calibri"/>
          <w:lang w:val="fr-FR"/>
        </w:rPr>
        <w:t>’</w:t>
      </w:r>
      <w:r w:rsidRPr="006F0F1B">
        <w:rPr>
          <w:rFonts w:eastAsia="Calibri"/>
          <w:lang w:val="fr-FR"/>
        </w:rPr>
        <w:t xml:space="preserve">à la peine de mort par lapidation dans certains </w:t>
      </w:r>
      <w:r w:rsidR="002808B8" w:rsidRPr="00ED069E">
        <w:rPr>
          <w:rFonts w:eastAsia="Calibri"/>
          <w:lang w:val="fr-FR"/>
        </w:rPr>
        <w:t>États</w:t>
      </w:r>
      <w:r w:rsidRPr="006F0F1B">
        <w:rPr>
          <w:rFonts w:eastAsia="Calibri"/>
          <w:lang w:val="fr-FR"/>
        </w:rPr>
        <w:t xml:space="preserve"> appliquant la loi islamique. Les sanctions sont généralement imposées </w:t>
      </w:r>
      <w:r w:rsidR="00F57C77">
        <w:rPr>
          <w:rFonts w:eastAsia="Calibri"/>
          <w:lang w:val="fr-FR"/>
        </w:rPr>
        <w:t xml:space="preserve">aux </w:t>
      </w:r>
      <w:r w:rsidRPr="006F0F1B">
        <w:rPr>
          <w:rFonts w:eastAsia="Calibri"/>
          <w:lang w:val="fr-FR"/>
        </w:rPr>
        <w:t>femmes plutôt qu</w:t>
      </w:r>
      <w:r w:rsidR="00F57C77">
        <w:rPr>
          <w:rFonts w:eastAsia="Calibri"/>
          <w:lang w:val="fr-FR"/>
        </w:rPr>
        <w:t xml:space="preserve">’aux </w:t>
      </w:r>
      <w:r w:rsidRPr="006F0F1B">
        <w:rPr>
          <w:rFonts w:eastAsia="Calibri"/>
          <w:lang w:val="fr-FR"/>
        </w:rPr>
        <w:t xml:space="preserve">hommes. Une intervention des gouvernements étrangers, de la société civile et </w:t>
      </w:r>
      <w:r w:rsidRPr="0016790D">
        <w:rPr>
          <w:rFonts w:eastAsia="Calibri"/>
          <w:lang w:val="fr-FR"/>
        </w:rPr>
        <w:t xml:space="preserve">des </w:t>
      </w:r>
      <w:r w:rsidR="00F57C77" w:rsidRPr="0016790D">
        <w:rPr>
          <w:rFonts w:eastAsia="Calibri"/>
          <w:lang w:val="fr-FR"/>
        </w:rPr>
        <w:t xml:space="preserve">titulaires de mandat au titre des </w:t>
      </w:r>
      <w:r w:rsidR="00147C81" w:rsidRPr="0016790D">
        <w:rPr>
          <w:rFonts w:eastAsia="Calibri"/>
          <w:lang w:val="fr-FR"/>
        </w:rPr>
        <w:t>p</w:t>
      </w:r>
      <w:r w:rsidRPr="0016790D">
        <w:rPr>
          <w:rFonts w:eastAsia="Calibri"/>
          <w:lang w:val="fr-FR"/>
        </w:rPr>
        <w:t xml:space="preserve">rocédures </w:t>
      </w:r>
      <w:r w:rsidR="00147C81" w:rsidRPr="0016790D">
        <w:rPr>
          <w:rFonts w:eastAsia="Calibri"/>
          <w:lang w:val="fr-FR"/>
        </w:rPr>
        <w:t>s</w:t>
      </w:r>
      <w:r w:rsidRPr="0016790D">
        <w:rPr>
          <w:rFonts w:eastAsia="Calibri"/>
          <w:lang w:val="fr-FR"/>
        </w:rPr>
        <w:t xml:space="preserve">péciales </w:t>
      </w:r>
      <w:r w:rsidRPr="006F0F1B">
        <w:rPr>
          <w:rFonts w:eastAsia="Calibri"/>
          <w:lang w:val="fr-FR"/>
        </w:rPr>
        <w:t>a parfois permis l</w:t>
      </w:r>
      <w:r w:rsidR="00BC7BEE">
        <w:rPr>
          <w:rFonts w:eastAsia="Calibri"/>
          <w:lang w:val="fr-FR"/>
        </w:rPr>
        <w:t>’</w:t>
      </w:r>
      <w:r w:rsidRPr="006F0F1B">
        <w:rPr>
          <w:rFonts w:eastAsia="Calibri"/>
          <w:lang w:val="fr-FR"/>
        </w:rPr>
        <w:t xml:space="preserve">annulation de décisions de tribunaux qui imposaient la lapidation. Dans certains </w:t>
      </w:r>
      <w:r w:rsidR="002808B8" w:rsidRPr="00ED069E">
        <w:rPr>
          <w:rFonts w:eastAsia="Calibri"/>
          <w:lang w:val="fr-FR"/>
        </w:rPr>
        <w:t>États</w:t>
      </w:r>
      <w:r w:rsidRPr="006F0F1B">
        <w:rPr>
          <w:rFonts w:eastAsia="Calibri"/>
          <w:lang w:val="fr-FR"/>
        </w:rPr>
        <w:t xml:space="preserve"> des </w:t>
      </w:r>
      <w:r w:rsidR="002808B8" w:rsidRPr="00ED069E">
        <w:rPr>
          <w:rFonts w:eastAsia="Calibri"/>
          <w:lang w:val="fr-FR"/>
        </w:rPr>
        <w:t>États</w:t>
      </w:r>
      <w:r w:rsidR="002808B8">
        <w:rPr>
          <w:rFonts w:eastAsia="Calibri"/>
          <w:lang w:val="fr-FR"/>
        </w:rPr>
        <w:t>-</w:t>
      </w:r>
      <w:r w:rsidRPr="006F0F1B">
        <w:rPr>
          <w:rFonts w:eastAsia="Calibri"/>
          <w:lang w:val="fr-FR"/>
        </w:rPr>
        <w:t>Unis, l’adultère entre personnes mariées est un crime</w:t>
      </w:r>
      <w:r w:rsidR="008D4793">
        <w:rPr>
          <w:rFonts w:eastAsia="Calibri"/>
          <w:lang w:val="fr-FR"/>
        </w:rPr>
        <w:t>,</w:t>
      </w:r>
      <w:r w:rsidRPr="006F0F1B">
        <w:rPr>
          <w:rFonts w:eastAsia="Calibri"/>
          <w:lang w:val="fr-FR"/>
        </w:rPr>
        <w:t xml:space="preserve"> mais ces dispositions n’ont pas été activées au cours des </w:t>
      </w:r>
      <w:r w:rsidR="008D4793">
        <w:rPr>
          <w:rFonts w:eastAsia="Calibri"/>
          <w:lang w:val="fr-FR"/>
        </w:rPr>
        <w:t>trente</w:t>
      </w:r>
      <w:r w:rsidR="008D4793" w:rsidRPr="006F0F1B">
        <w:rPr>
          <w:rFonts w:eastAsia="Calibri"/>
          <w:lang w:val="fr-FR"/>
        </w:rPr>
        <w:t xml:space="preserve"> </w:t>
      </w:r>
      <w:r w:rsidRPr="006F0F1B">
        <w:rPr>
          <w:rFonts w:eastAsia="Calibri"/>
          <w:lang w:val="fr-FR"/>
        </w:rPr>
        <w:t xml:space="preserve">dernières années. Le </w:t>
      </w:r>
      <w:r w:rsidR="00736F92">
        <w:rPr>
          <w:rFonts w:eastAsia="Calibri"/>
          <w:lang w:val="fr-FR"/>
        </w:rPr>
        <w:t>Groupe de travail</w:t>
      </w:r>
      <w:r w:rsidRPr="006F0F1B">
        <w:rPr>
          <w:rFonts w:eastAsia="Calibri"/>
          <w:lang w:val="fr-FR"/>
        </w:rPr>
        <w:t xml:space="preserve"> a publié une déclaration appelant à la dépénalisation de l</w:t>
      </w:r>
      <w:r w:rsidR="00BC7BEE">
        <w:rPr>
          <w:rFonts w:eastAsia="Calibri"/>
          <w:lang w:val="fr-FR"/>
        </w:rPr>
        <w:t>’</w:t>
      </w:r>
      <w:r w:rsidRPr="006F0F1B">
        <w:rPr>
          <w:rFonts w:eastAsia="Calibri"/>
          <w:lang w:val="fr-FR"/>
        </w:rPr>
        <w:t>adultère</w:t>
      </w:r>
      <w:r w:rsidRPr="006F0F1B">
        <w:rPr>
          <w:rStyle w:val="FootnoteReference"/>
          <w:rFonts w:eastAsia="Calibri"/>
          <w:lang w:val="fr-FR"/>
        </w:rPr>
        <w:footnoteReference w:id="35"/>
      </w:r>
      <w:r w:rsidRPr="006F0F1B">
        <w:rPr>
          <w:rFonts w:eastAsia="Calibri"/>
          <w:lang w:val="fr-FR"/>
        </w:rPr>
        <w:t xml:space="preserve"> et tient à rappeler que la criminalisation des relations sexuelles entre adultes consentants est une violation de leur droit à la vie </w:t>
      </w:r>
      <w:r w:rsidRPr="00DA64F5">
        <w:rPr>
          <w:rFonts w:eastAsia="Calibri"/>
          <w:lang w:val="fr-FR"/>
        </w:rPr>
        <w:t>privé</w:t>
      </w:r>
      <w:r w:rsidR="006C5779" w:rsidRPr="00DA64F5">
        <w:rPr>
          <w:rFonts w:eastAsia="Calibri"/>
          <w:lang w:val="fr-FR"/>
        </w:rPr>
        <w:t>e</w:t>
      </w:r>
      <w:r w:rsidRPr="00DA64F5">
        <w:rPr>
          <w:rFonts w:eastAsia="Calibri"/>
          <w:lang w:val="fr-FR"/>
        </w:rPr>
        <w:t xml:space="preserve"> et de l’</w:t>
      </w:r>
      <w:r w:rsidR="00272691" w:rsidRPr="00DA64F5">
        <w:rPr>
          <w:rFonts w:eastAsia="Calibri"/>
          <w:lang w:val="fr-FR"/>
        </w:rPr>
        <w:t>article </w:t>
      </w:r>
      <w:r w:rsidRPr="00E32163">
        <w:rPr>
          <w:rFonts w:eastAsia="Calibri"/>
          <w:lang w:val="fr-FR"/>
        </w:rPr>
        <w:t xml:space="preserve">17 du </w:t>
      </w:r>
      <w:r w:rsidR="00147C81" w:rsidRPr="00E32163">
        <w:rPr>
          <w:rFonts w:eastAsia="Calibri"/>
          <w:lang w:val="fr-FR"/>
        </w:rPr>
        <w:t>Pacte international relatif aux droits civils et politiques</w:t>
      </w:r>
      <w:r w:rsidRPr="0016746E">
        <w:rPr>
          <w:rFonts w:eastAsia="Calibri"/>
          <w:lang w:val="fr-FR"/>
        </w:rPr>
        <w:t>.</w:t>
      </w:r>
    </w:p>
    <w:p w:rsidR="006879D2" w:rsidRPr="006F0F1B" w:rsidRDefault="006879D2" w:rsidP="006F763B">
      <w:pPr>
        <w:pStyle w:val="SingleTxtG"/>
        <w:numPr>
          <w:ilvl w:val="0"/>
          <w:numId w:val="33"/>
        </w:numPr>
        <w:ind w:left="1134" w:firstLine="0"/>
        <w:rPr>
          <w:rFonts w:eastAsia="Calibri"/>
          <w:lang w:val="fr-FR"/>
        </w:rPr>
      </w:pPr>
      <w:r w:rsidRPr="006F0F1B">
        <w:rPr>
          <w:rFonts w:eastAsia="Calibri"/>
          <w:lang w:val="fr-FR"/>
        </w:rPr>
        <w:t>Les réformes pour introduire une mesure d</w:t>
      </w:r>
      <w:r w:rsidR="00BC7BEE">
        <w:rPr>
          <w:rFonts w:eastAsia="Calibri"/>
          <w:lang w:val="fr-FR"/>
        </w:rPr>
        <w:t>’</w:t>
      </w:r>
      <w:r w:rsidRPr="006F0F1B">
        <w:rPr>
          <w:rFonts w:eastAsia="Calibri"/>
          <w:lang w:val="fr-FR"/>
        </w:rPr>
        <w:t xml:space="preserve">égalité pour les femmes dans le droit de la famille ont eu lieu de deux </w:t>
      </w:r>
      <w:r w:rsidR="00446605">
        <w:rPr>
          <w:rFonts w:eastAsia="Calibri"/>
          <w:lang w:val="fr-FR"/>
        </w:rPr>
        <w:t xml:space="preserve">façons </w:t>
      </w:r>
      <w:r w:rsidRPr="006F0F1B">
        <w:rPr>
          <w:rFonts w:eastAsia="Calibri"/>
          <w:lang w:val="fr-FR"/>
        </w:rPr>
        <w:t>différentes dans les pays où le droit familial était fondé uniquement sur la loi religieuse. Le premier moyen est la réforme basée sur l</w:t>
      </w:r>
      <w:r w:rsidR="00BC7BEE">
        <w:rPr>
          <w:rFonts w:eastAsia="Calibri"/>
          <w:lang w:val="fr-FR"/>
        </w:rPr>
        <w:t>’</w:t>
      </w:r>
      <w:r w:rsidRPr="006F0F1B">
        <w:rPr>
          <w:rFonts w:eastAsia="Calibri"/>
          <w:lang w:val="fr-FR"/>
        </w:rPr>
        <w:t xml:space="preserve">interprétation religieuse </w:t>
      </w:r>
      <w:r w:rsidRPr="00DA64F5">
        <w:rPr>
          <w:rFonts w:eastAsia="Calibri"/>
          <w:lang w:val="fr-FR"/>
        </w:rPr>
        <w:t>(l’herméneutique).</w:t>
      </w:r>
      <w:r w:rsidRPr="006F0F1B">
        <w:rPr>
          <w:rFonts w:eastAsia="Calibri"/>
          <w:lang w:val="fr-FR"/>
        </w:rPr>
        <w:t xml:space="preserve"> Le Comité </w:t>
      </w:r>
      <w:r w:rsidR="00F45127">
        <w:rPr>
          <w:rFonts w:eastAsia="Calibri"/>
          <w:lang w:val="fr-FR"/>
        </w:rPr>
        <w:t>pour l’élimination de la discrimination à l’égard des femmes</w:t>
      </w:r>
      <w:r w:rsidRPr="006F0F1B">
        <w:rPr>
          <w:rFonts w:eastAsia="Calibri"/>
          <w:lang w:val="fr-FR"/>
        </w:rPr>
        <w:t xml:space="preserve"> a avancé</w:t>
      </w:r>
      <w:r w:rsidR="00446605">
        <w:rPr>
          <w:rFonts w:eastAsia="Calibri"/>
          <w:lang w:val="fr-FR"/>
        </w:rPr>
        <w:t>,</w:t>
      </w:r>
      <w:r w:rsidRPr="006F0F1B">
        <w:rPr>
          <w:rFonts w:eastAsia="Calibri"/>
          <w:lang w:val="fr-FR"/>
        </w:rPr>
        <w:t xml:space="preserve"> dans plusieurs de ses observations finales</w:t>
      </w:r>
      <w:r w:rsidR="00446605">
        <w:rPr>
          <w:rFonts w:eastAsia="Calibri"/>
          <w:lang w:val="fr-FR"/>
        </w:rPr>
        <w:t>,</w:t>
      </w:r>
      <w:r w:rsidRPr="006F0F1B">
        <w:rPr>
          <w:rFonts w:eastAsia="Calibri"/>
          <w:lang w:val="fr-FR"/>
        </w:rPr>
        <w:t xml:space="preserve"> que la fluidité de la coutume et la variété de possibilités d’interprétations de la loi religieuse offrent un potentiel de progrès vers l</w:t>
      </w:r>
      <w:r w:rsidR="00BC7BEE">
        <w:rPr>
          <w:rFonts w:eastAsia="Calibri"/>
          <w:lang w:val="fr-FR"/>
        </w:rPr>
        <w:t>’</w:t>
      </w:r>
      <w:r w:rsidRPr="006F0F1B">
        <w:rPr>
          <w:rFonts w:eastAsia="Calibri"/>
          <w:lang w:val="fr-FR"/>
        </w:rPr>
        <w:t xml:space="preserve">égalité, tout en encourageant les </w:t>
      </w:r>
      <w:r w:rsidR="002808B8" w:rsidRPr="00ED069E">
        <w:rPr>
          <w:rFonts w:eastAsia="Calibri"/>
          <w:lang w:val="fr-FR"/>
        </w:rPr>
        <w:t>États</w:t>
      </w:r>
      <w:r w:rsidRPr="006F0F1B">
        <w:rPr>
          <w:rFonts w:eastAsia="Calibri"/>
          <w:lang w:val="fr-FR"/>
        </w:rPr>
        <w:t xml:space="preserve"> parties à aller dans cette direction</w:t>
      </w:r>
      <w:r w:rsidRPr="006F0F1B">
        <w:rPr>
          <w:rStyle w:val="FootnoteReference"/>
          <w:rFonts w:eastAsia="Calibri"/>
          <w:lang w:val="fr-FR"/>
        </w:rPr>
        <w:footnoteReference w:id="36"/>
      </w:r>
      <w:r w:rsidRPr="006F0F1B">
        <w:rPr>
          <w:rFonts w:eastAsia="Calibri"/>
          <w:lang w:val="fr-FR"/>
        </w:rPr>
        <w:t xml:space="preserve">. La réforme des codes de droit religieux de la famille sur la base d’interprétations favorables </w:t>
      </w:r>
      <w:r w:rsidR="008D4793">
        <w:rPr>
          <w:rFonts w:eastAsia="Calibri"/>
          <w:lang w:val="fr-FR"/>
        </w:rPr>
        <w:t>à</w:t>
      </w:r>
      <w:r w:rsidR="008D4793" w:rsidRPr="00250230">
        <w:rPr>
          <w:rFonts w:eastAsia="Calibri"/>
          <w:lang w:val="fr-FR"/>
        </w:rPr>
        <w:t xml:space="preserve"> </w:t>
      </w:r>
      <w:r w:rsidRPr="00250230">
        <w:rPr>
          <w:rFonts w:eastAsia="Calibri"/>
          <w:lang w:val="fr-FR"/>
        </w:rPr>
        <w:t>l’égalité des textes sacrés</w:t>
      </w:r>
      <w:r w:rsidRPr="006F0F1B">
        <w:rPr>
          <w:rFonts w:eastAsia="Calibri"/>
          <w:lang w:val="fr-FR"/>
        </w:rPr>
        <w:t xml:space="preserve"> a eu lieu dans certains pays à majorité musulmane qui ont entrepris des réformes législatives fondées sur des interprétations progressistes de </w:t>
      </w:r>
      <w:r w:rsidRPr="00DA64F5">
        <w:rPr>
          <w:rFonts w:eastAsia="Calibri"/>
          <w:lang w:val="fr-FR"/>
        </w:rPr>
        <w:t xml:space="preserve">la </w:t>
      </w:r>
      <w:r w:rsidR="006C5779" w:rsidRPr="00273ABE">
        <w:rPr>
          <w:rFonts w:eastAsia="Calibri"/>
          <w:lang w:val="fr-FR"/>
        </w:rPr>
        <w:t>c</w:t>
      </w:r>
      <w:r w:rsidRPr="00DA64F5">
        <w:rPr>
          <w:rFonts w:eastAsia="Calibri"/>
          <w:lang w:val="fr-FR"/>
        </w:rPr>
        <w:t>haria.</w:t>
      </w:r>
      <w:r w:rsidRPr="006F0F1B">
        <w:rPr>
          <w:rFonts w:eastAsia="Calibri"/>
          <w:lang w:val="fr-FR"/>
        </w:rPr>
        <w:t xml:space="preserve"> Par exemple, la Tunisie</w:t>
      </w:r>
      <w:r w:rsidR="00DB306A" w:rsidRPr="006F0F1B">
        <w:rPr>
          <w:rFonts w:eastAsia="Calibri"/>
          <w:lang w:val="fr-FR"/>
        </w:rPr>
        <w:t xml:space="preserve"> a été l’un des premiers pays </w:t>
      </w:r>
      <w:r w:rsidR="006F763B" w:rsidRPr="00CC0FB5">
        <w:rPr>
          <w:rFonts w:eastAsia="Calibri"/>
          <w:lang w:val="fr-FR"/>
        </w:rPr>
        <w:t>ayant l’islam comme religion d’État</w:t>
      </w:r>
      <w:r w:rsidR="006F763B">
        <w:rPr>
          <w:rFonts w:eastAsia="Calibri"/>
          <w:lang w:val="fr-FR"/>
        </w:rPr>
        <w:t xml:space="preserve"> </w:t>
      </w:r>
      <w:r w:rsidR="00DB306A" w:rsidRPr="006F0F1B">
        <w:rPr>
          <w:rFonts w:eastAsia="Calibri"/>
          <w:lang w:val="fr-FR"/>
        </w:rPr>
        <w:t xml:space="preserve">à promulguer un </w:t>
      </w:r>
      <w:r w:rsidR="002668AB">
        <w:rPr>
          <w:rFonts w:eastAsia="Calibri"/>
          <w:lang w:val="fr-FR"/>
        </w:rPr>
        <w:t>C</w:t>
      </w:r>
      <w:r w:rsidR="00DB306A" w:rsidRPr="006F0F1B">
        <w:rPr>
          <w:rFonts w:eastAsia="Calibri"/>
          <w:lang w:val="fr-FR"/>
        </w:rPr>
        <w:t>ode du statut personnel progressiste assurant l’égalité des sexes</w:t>
      </w:r>
      <w:r w:rsidRPr="006F0F1B">
        <w:rPr>
          <w:rStyle w:val="FootnoteReference"/>
          <w:rFonts w:eastAsia="Calibri"/>
          <w:lang w:val="fr-FR"/>
        </w:rPr>
        <w:footnoteReference w:id="37"/>
      </w:r>
      <w:r w:rsidR="00DB306A" w:rsidRPr="006F0F1B">
        <w:rPr>
          <w:rFonts w:eastAsia="Calibri"/>
          <w:lang w:val="fr-FR"/>
        </w:rPr>
        <w:t>;</w:t>
      </w:r>
      <w:r w:rsidRPr="006F0F1B">
        <w:rPr>
          <w:rFonts w:eastAsia="Calibri"/>
          <w:lang w:val="fr-FR"/>
        </w:rPr>
        <w:t xml:space="preserve"> le Maroc a entrepris en 2004 une vaste réforme de son droit de la famille permettant des progrès significatifs pour l</w:t>
      </w:r>
      <w:r w:rsidR="00BC7BEE">
        <w:rPr>
          <w:rFonts w:eastAsia="Calibri"/>
          <w:lang w:val="fr-FR"/>
        </w:rPr>
        <w:t>’</w:t>
      </w:r>
      <w:r w:rsidRPr="006F0F1B">
        <w:rPr>
          <w:rFonts w:eastAsia="Calibri"/>
          <w:lang w:val="fr-FR"/>
        </w:rPr>
        <w:t>égalité des sexes</w:t>
      </w:r>
      <w:r w:rsidRPr="006F0F1B">
        <w:rPr>
          <w:rStyle w:val="FootnoteReference"/>
          <w:rFonts w:eastAsia="Calibri"/>
          <w:lang w:val="fr-FR"/>
        </w:rPr>
        <w:footnoteReference w:id="38"/>
      </w:r>
      <w:r w:rsidRPr="006F0F1B">
        <w:rPr>
          <w:rFonts w:eastAsia="Calibri"/>
          <w:lang w:val="fr-FR"/>
        </w:rPr>
        <w:t xml:space="preserve">; </w:t>
      </w:r>
      <w:r w:rsidRPr="006F0F1B">
        <w:rPr>
          <w:rFonts w:eastAsia="Calibri"/>
          <w:color w:val="000000"/>
          <w:lang w:val="fr-FR"/>
        </w:rPr>
        <w:t>la Tunisie, la Turquie</w:t>
      </w:r>
      <w:r w:rsidRPr="006F0F1B">
        <w:rPr>
          <w:rStyle w:val="FootnoteReference"/>
          <w:rFonts w:eastAsia="Calibri"/>
          <w:lang w:val="fr-FR"/>
        </w:rPr>
        <w:footnoteReference w:id="39"/>
      </w:r>
      <w:r w:rsidRPr="006F0F1B">
        <w:rPr>
          <w:rFonts w:eastAsia="Calibri"/>
          <w:color w:val="000000"/>
          <w:lang w:val="fr-FR"/>
        </w:rPr>
        <w:t xml:space="preserve"> et le Bénin ont adopté une législation contre la</w:t>
      </w:r>
      <w:r w:rsidR="002D54FB" w:rsidRPr="006F0F1B">
        <w:rPr>
          <w:rFonts w:eastAsia="Calibri"/>
          <w:color w:val="000000"/>
          <w:lang w:val="fr-FR"/>
        </w:rPr>
        <w:t xml:space="preserve"> </w:t>
      </w:r>
      <w:r w:rsidRPr="006F0F1B">
        <w:rPr>
          <w:rFonts w:eastAsia="Calibri"/>
          <w:color w:val="000000"/>
          <w:lang w:val="fr-FR"/>
        </w:rPr>
        <w:t xml:space="preserve">polygamie; </w:t>
      </w:r>
      <w:r w:rsidRPr="006F0F1B">
        <w:rPr>
          <w:rFonts w:eastAsia="Calibri"/>
          <w:lang w:val="fr-FR"/>
        </w:rPr>
        <w:t xml:space="preserve">en Indonésie, les tribunaux islamiques ont institutionnalisé la nomination de femmes juges dans les tribunaux religieux en 1989, favorisant </w:t>
      </w:r>
      <w:r w:rsidR="006C5779" w:rsidRPr="00273ABE">
        <w:rPr>
          <w:rFonts w:eastAsia="Calibri"/>
          <w:lang w:val="fr-FR"/>
        </w:rPr>
        <w:t>d</w:t>
      </w:r>
      <w:r w:rsidRPr="006C5779">
        <w:rPr>
          <w:rFonts w:eastAsia="Calibri"/>
          <w:lang w:val="fr-FR"/>
        </w:rPr>
        <w:t>es</w:t>
      </w:r>
      <w:r w:rsidRPr="006F0F1B">
        <w:rPr>
          <w:rFonts w:eastAsia="Calibri"/>
          <w:lang w:val="fr-FR"/>
        </w:rPr>
        <w:t xml:space="preserve"> décisions plus sensibles au genre.</w:t>
      </w:r>
    </w:p>
    <w:p w:rsidR="006879D2" w:rsidRPr="006F0F1B" w:rsidRDefault="006879D2" w:rsidP="00723CCE">
      <w:pPr>
        <w:pStyle w:val="SingleTxtG"/>
        <w:numPr>
          <w:ilvl w:val="0"/>
          <w:numId w:val="33"/>
        </w:numPr>
        <w:ind w:left="1134" w:firstLine="0"/>
        <w:rPr>
          <w:rFonts w:eastAsia="Calibri"/>
          <w:lang w:val="fr-FR"/>
        </w:rPr>
      </w:pPr>
      <w:r w:rsidRPr="006F0F1B">
        <w:rPr>
          <w:rFonts w:eastAsia="Calibri"/>
          <w:lang w:val="fr-FR"/>
        </w:rPr>
        <w:t>Le second moyen de réformer la loi religieuse patriarcale de la famille s’effectue en remplaçant le droit religieux de la famille par le droit sécul</w:t>
      </w:r>
      <w:r w:rsidR="00723CCE">
        <w:rPr>
          <w:rFonts w:eastAsia="Calibri"/>
          <w:lang w:val="fr-FR"/>
        </w:rPr>
        <w:t>ier</w:t>
      </w:r>
      <w:r w:rsidRPr="006F0F1B">
        <w:rPr>
          <w:rFonts w:eastAsia="Calibri"/>
          <w:lang w:val="fr-FR"/>
        </w:rPr>
        <w:t xml:space="preserve">. Dans les </w:t>
      </w:r>
      <w:r w:rsidR="002808B8" w:rsidRPr="00ED069E">
        <w:rPr>
          <w:rFonts w:eastAsia="Calibri"/>
          <w:lang w:val="fr-FR"/>
        </w:rPr>
        <w:t>Ét</w:t>
      </w:r>
      <w:r w:rsidR="002808B8" w:rsidRPr="006F0F1B">
        <w:rPr>
          <w:rFonts w:eastAsia="Calibri"/>
          <w:lang w:val="fr-FR"/>
        </w:rPr>
        <w:t>ats</w:t>
      </w:r>
      <w:r w:rsidRPr="006F0F1B">
        <w:rPr>
          <w:rFonts w:eastAsia="Calibri"/>
          <w:lang w:val="fr-FR"/>
        </w:rPr>
        <w:t xml:space="preserve"> à tradition chrétienne, les codes civils de la famille ont été introduits pour remplacer la loi personnelle religieuse, comme en Italie à partir de 1970 et en Grèce à partir de 1982. </w:t>
      </w:r>
    </w:p>
    <w:p w:rsidR="006879D2" w:rsidRPr="006F0F1B" w:rsidRDefault="00896432" w:rsidP="00896432">
      <w:pPr>
        <w:pStyle w:val="H23G"/>
        <w:rPr>
          <w:lang w:val="fr-FR"/>
        </w:rPr>
      </w:pPr>
      <w:bookmarkStart w:id="22" w:name="_Toc412190772"/>
      <w:r w:rsidRPr="006F0F1B">
        <w:rPr>
          <w:lang w:val="fr-FR"/>
        </w:rPr>
        <w:tab/>
        <w:t>3.</w:t>
      </w:r>
      <w:r w:rsidRPr="006F0F1B">
        <w:rPr>
          <w:lang w:val="fr-FR"/>
        </w:rPr>
        <w:tab/>
      </w:r>
      <w:r w:rsidR="006879D2" w:rsidRPr="006F0F1B">
        <w:rPr>
          <w:lang w:val="fr-FR"/>
        </w:rPr>
        <w:t>Les systèmes juridiques pluralistes</w:t>
      </w:r>
      <w:bookmarkEnd w:id="22"/>
    </w:p>
    <w:p w:rsidR="006879D2" w:rsidRPr="006F0F1B" w:rsidRDefault="006879D2" w:rsidP="0028253A">
      <w:pPr>
        <w:pStyle w:val="SingleTxtG"/>
        <w:numPr>
          <w:ilvl w:val="0"/>
          <w:numId w:val="33"/>
        </w:numPr>
        <w:ind w:left="1134" w:firstLine="0"/>
        <w:rPr>
          <w:rFonts w:eastAsia="Calibri"/>
          <w:lang w:val="fr-FR"/>
        </w:rPr>
      </w:pPr>
      <w:r w:rsidRPr="006F0F1B">
        <w:rPr>
          <w:rFonts w:eastAsia="Calibri"/>
          <w:color w:val="000000"/>
          <w:lang w:val="fr-FR"/>
        </w:rPr>
        <w:t xml:space="preserve">Les systèmes juridiques pluralistes </w:t>
      </w:r>
      <w:r w:rsidRPr="006F0F1B">
        <w:rPr>
          <w:rFonts w:eastAsia="Calibri"/>
          <w:lang w:val="fr-FR"/>
        </w:rPr>
        <w:t>sont</w:t>
      </w:r>
      <w:r w:rsidRPr="006F0F1B">
        <w:rPr>
          <w:rFonts w:eastAsia="Calibri"/>
          <w:color w:val="000000"/>
          <w:lang w:val="fr-FR"/>
        </w:rPr>
        <w:t xml:space="preserve"> des systèmes faisant coexister un ensemble de droits en vigueur. </w:t>
      </w:r>
      <w:r w:rsidRPr="006F0F1B">
        <w:rPr>
          <w:rFonts w:eastAsia="Calibri"/>
          <w:lang w:val="fr-FR"/>
        </w:rPr>
        <w:t>Ils peuvent inclure diverses combinaisons de droit civil codifié, de systèmes juridiques religieux, de codes juridiques autochtones ou coutumiers, d</w:t>
      </w:r>
      <w:r w:rsidR="00BC7BEE">
        <w:rPr>
          <w:rFonts w:eastAsia="Calibri"/>
          <w:lang w:val="fr-FR"/>
        </w:rPr>
        <w:t>’</w:t>
      </w:r>
      <w:r w:rsidRPr="006F0F1B">
        <w:rPr>
          <w:rFonts w:eastAsia="Calibri"/>
          <w:lang w:val="fr-FR"/>
        </w:rPr>
        <w:t>arbitrage communautaire ou d</w:t>
      </w:r>
      <w:r w:rsidR="00BC7BEE">
        <w:rPr>
          <w:rFonts w:eastAsia="Calibri"/>
          <w:lang w:val="fr-FR"/>
        </w:rPr>
        <w:t>’</w:t>
      </w:r>
      <w:r w:rsidRPr="006F0F1B">
        <w:rPr>
          <w:rFonts w:eastAsia="Calibri"/>
          <w:lang w:val="fr-FR"/>
        </w:rPr>
        <w:t xml:space="preserve">autres procédures de règlement des différends. </w:t>
      </w:r>
      <w:r w:rsidRPr="006F0F1B">
        <w:rPr>
          <w:rFonts w:eastAsia="Calibri"/>
          <w:color w:val="000000"/>
          <w:lang w:val="fr-FR"/>
        </w:rPr>
        <w:t>L</w:t>
      </w:r>
      <w:r w:rsidRPr="006F0F1B">
        <w:rPr>
          <w:rFonts w:eastAsia="Calibri"/>
          <w:lang w:val="fr-FR"/>
        </w:rPr>
        <w:t xml:space="preserve">es systèmes juridiques pluralistes peuvent être formels ou informels. </w:t>
      </w:r>
      <w:r w:rsidR="00DE5287" w:rsidRPr="006F0F1B">
        <w:rPr>
          <w:rFonts w:eastAsia="Calibri"/>
          <w:lang w:val="fr-FR"/>
        </w:rPr>
        <w:t>C</w:t>
      </w:r>
      <w:r w:rsidRPr="006F0F1B">
        <w:rPr>
          <w:rFonts w:eastAsia="Calibri"/>
          <w:lang w:val="fr-FR"/>
        </w:rPr>
        <w:t xml:space="preserve">es systèmes affectent le plus souvent les droits du statut personnel et de la famille. Dans de tels </w:t>
      </w:r>
      <w:r w:rsidR="003551BA" w:rsidRPr="00ED069E">
        <w:rPr>
          <w:rFonts w:eastAsia="Calibri"/>
          <w:lang w:val="fr-FR"/>
        </w:rPr>
        <w:t>États</w:t>
      </w:r>
      <w:r w:rsidRPr="006F0F1B">
        <w:rPr>
          <w:rFonts w:eastAsia="Calibri"/>
          <w:lang w:val="fr-FR"/>
        </w:rPr>
        <w:t>, l</w:t>
      </w:r>
      <w:r w:rsidRPr="006F0F1B">
        <w:rPr>
          <w:rFonts w:eastAsia="Calibri"/>
          <w:color w:val="000000"/>
          <w:lang w:val="fr-FR"/>
        </w:rPr>
        <w:t xml:space="preserve">e système </w:t>
      </w:r>
      <w:r w:rsidRPr="006F0F1B">
        <w:rPr>
          <w:rFonts w:eastAsia="Calibri"/>
          <w:color w:val="000000"/>
          <w:lang w:val="fr-FR"/>
        </w:rPr>
        <w:lastRenderedPageBreak/>
        <w:t xml:space="preserve">juridique étatique, généralement civil et codifié, </w:t>
      </w:r>
      <w:r w:rsidR="0028253A">
        <w:rPr>
          <w:rFonts w:eastAsia="Calibri"/>
          <w:color w:val="000000"/>
          <w:lang w:val="fr-FR"/>
        </w:rPr>
        <w:t>et</w:t>
      </w:r>
      <w:r w:rsidRPr="006F0F1B">
        <w:rPr>
          <w:rFonts w:eastAsia="Calibri"/>
          <w:color w:val="000000"/>
          <w:lang w:val="fr-FR"/>
        </w:rPr>
        <w:t xml:space="preserve"> les tribunaux d’</w:t>
      </w:r>
      <w:r w:rsidR="003551BA" w:rsidRPr="00ED069E">
        <w:rPr>
          <w:rFonts w:eastAsia="Calibri"/>
          <w:color w:val="000000"/>
          <w:lang w:val="fr-FR"/>
        </w:rPr>
        <w:t>État</w:t>
      </w:r>
      <w:r w:rsidRPr="006F0F1B">
        <w:rPr>
          <w:rFonts w:eastAsia="Calibri"/>
          <w:color w:val="000000"/>
          <w:lang w:val="fr-FR"/>
        </w:rPr>
        <w:t xml:space="preserve"> s’appliquent aux questions relatives à la sphère publique. </w:t>
      </w:r>
    </w:p>
    <w:p w:rsidR="006879D2" w:rsidRPr="006F0F1B" w:rsidRDefault="006879D2" w:rsidP="0028253A">
      <w:pPr>
        <w:pStyle w:val="SingleTxtG"/>
        <w:numPr>
          <w:ilvl w:val="0"/>
          <w:numId w:val="33"/>
        </w:numPr>
        <w:ind w:left="1134" w:firstLine="0"/>
        <w:rPr>
          <w:rFonts w:eastAsia="Calibri"/>
          <w:lang w:val="fr-FR"/>
        </w:rPr>
      </w:pPr>
      <w:r w:rsidRPr="006F0F1B">
        <w:rPr>
          <w:rFonts w:eastAsia="Calibri"/>
          <w:lang w:val="fr-FR"/>
        </w:rPr>
        <w:t xml:space="preserve">Plusieurs </w:t>
      </w:r>
      <w:r w:rsidR="003551BA" w:rsidRPr="00ED069E">
        <w:rPr>
          <w:rFonts w:eastAsia="Calibri"/>
          <w:lang w:val="fr-FR"/>
        </w:rPr>
        <w:t>États</w:t>
      </w:r>
      <w:r w:rsidRPr="006F0F1B">
        <w:rPr>
          <w:rFonts w:eastAsia="Calibri"/>
          <w:lang w:val="fr-FR"/>
        </w:rPr>
        <w:t xml:space="preserve"> ont adopté cette forme de système juridique, invoquant une manière de reconna</w:t>
      </w:r>
      <w:r w:rsidR="00905BBE">
        <w:rPr>
          <w:rFonts w:eastAsia="Calibri"/>
          <w:lang w:val="fr-FR"/>
        </w:rPr>
        <w:t>î</w:t>
      </w:r>
      <w:r w:rsidRPr="006F0F1B">
        <w:rPr>
          <w:rFonts w:eastAsia="Calibri"/>
          <w:lang w:val="fr-FR"/>
        </w:rPr>
        <w:t xml:space="preserve">tre la diversité culturelle. </w:t>
      </w:r>
      <w:r w:rsidRPr="006C5779">
        <w:rPr>
          <w:rFonts w:eastAsia="Calibri"/>
          <w:lang w:val="fr-FR"/>
        </w:rPr>
        <w:t>Néanmoins,</w:t>
      </w:r>
      <w:r w:rsidRPr="006F0F1B">
        <w:rPr>
          <w:rFonts w:eastAsia="Calibri"/>
          <w:lang w:val="fr-FR"/>
        </w:rPr>
        <w:t xml:space="preserve"> la pluralité des droits est aussi utilisée par certains acteurs </w:t>
      </w:r>
      <w:r w:rsidR="00CD5862" w:rsidRPr="006F0F1B">
        <w:rPr>
          <w:rFonts w:eastAsia="Calibri"/>
          <w:lang w:val="fr-FR"/>
        </w:rPr>
        <w:t>pour</w:t>
      </w:r>
      <w:r w:rsidRPr="006F0F1B">
        <w:rPr>
          <w:rFonts w:eastAsia="Calibri"/>
          <w:lang w:val="fr-FR"/>
        </w:rPr>
        <w:t xml:space="preserve"> promouvoir des intérêts politiques et idéologiques. </w:t>
      </w:r>
      <w:r w:rsidR="0028253A" w:rsidRPr="00273ABE">
        <w:rPr>
          <w:rFonts w:eastAsia="Calibri"/>
          <w:lang w:val="fr-FR"/>
        </w:rPr>
        <w:t>E</w:t>
      </w:r>
      <w:r w:rsidRPr="00CC0FB5">
        <w:rPr>
          <w:rFonts w:eastAsia="Calibri"/>
          <w:lang w:val="fr-FR"/>
        </w:rPr>
        <w:t xml:space="preserve">nviron </w:t>
      </w:r>
      <w:r w:rsidR="00797E95" w:rsidRPr="00273ABE">
        <w:rPr>
          <w:lang w:val="fr-CH"/>
        </w:rPr>
        <w:t>80% des cas de réclamations ou de conflits</w:t>
      </w:r>
      <w:r w:rsidR="00797E95" w:rsidRPr="00CC0FB5">
        <w:rPr>
          <w:lang w:val="fr-CH"/>
        </w:rPr>
        <w:t xml:space="preserve"> sont réglés par</w:t>
      </w:r>
      <w:r w:rsidR="00797E95" w:rsidRPr="00273ABE">
        <w:rPr>
          <w:lang w:val="fr-CH"/>
        </w:rPr>
        <w:t xml:space="preserve"> les systèmes juridiques pluralistes, ce qui signifie que la plupart des femmes dans les pays en développement passent par des juridictions parallèles</w:t>
      </w:r>
      <w:r w:rsidR="008216BE">
        <w:rPr>
          <w:rStyle w:val="FootnoteReference"/>
          <w:lang w:val="fr-CH"/>
        </w:rPr>
        <w:footnoteReference w:id="40"/>
      </w:r>
      <w:r w:rsidRPr="006F0F1B">
        <w:rPr>
          <w:rFonts w:eastAsia="Calibri"/>
          <w:lang w:val="fr-FR"/>
        </w:rPr>
        <w:t xml:space="preserve">. L’existence d’obstacles sociaux, économiques, institutionnels et culturels, </w:t>
      </w:r>
      <w:r w:rsidR="0028253A">
        <w:rPr>
          <w:rFonts w:eastAsia="Calibri"/>
          <w:lang w:val="fr-FR"/>
        </w:rPr>
        <w:t xml:space="preserve">et </w:t>
      </w:r>
      <w:r w:rsidRPr="006F0F1B">
        <w:rPr>
          <w:rFonts w:eastAsia="Calibri"/>
          <w:lang w:val="fr-FR"/>
        </w:rPr>
        <w:t xml:space="preserve">le manque de confiance dans les systèmes formels peuvent expliquer la forte utilisation de ces systèmes parallèles. La pauvreté </w:t>
      </w:r>
      <w:r w:rsidR="0028253A">
        <w:rPr>
          <w:rFonts w:eastAsia="Calibri"/>
          <w:lang w:val="fr-FR"/>
        </w:rPr>
        <w:t xml:space="preserve">et </w:t>
      </w:r>
      <w:r w:rsidRPr="006F0F1B">
        <w:rPr>
          <w:rFonts w:eastAsia="Calibri"/>
          <w:lang w:val="fr-FR"/>
        </w:rPr>
        <w:t xml:space="preserve">le manque </w:t>
      </w:r>
      <w:r w:rsidRPr="006C5779">
        <w:rPr>
          <w:rFonts w:eastAsia="Calibri"/>
          <w:lang w:val="fr-FR"/>
        </w:rPr>
        <w:t>d’information</w:t>
      </w:r>
      <w:r w:rsidRPr="006F0F1B">
        <w:rPr>
          <w:rFonts w:eastAsia="Calibri"/>
          <w:lang w:val="fr-FR"/>
        </w:rPr>
        <w:t xml:space="preserve"> pour accéder à la justice formelle et à l’éducation sont les principaux facteurs incitant les femmes à </w:t>
      </w:r>
      <w:r w:rsidRPr="00500AB3">
        <w:rPr>
          <w:rFonts w:eastAsia="Calibri"/>
          <w:lang w:val="fr-FR"/>
        </w:rPr>
        <w:t>utiliser</w:t>
      </w:r>
      <w:r w:rsidRPr="006F0F1B">
        <w:rPr>
          <w:rFonts w:eastAsia="Calibri"/>
          <w:lang w:val="fr-FR"/>
        </w:rPr>
        <w:t xml:space="preserve"> la justice parallèle.</w:t>
      </w:r>
      <w:r w:rsidR="002D54FB" w:rsidRPr="006F0F1B">
        <w:rPr>
          <w:rFonts w:eastAsia="Calibri"/>
          <w:lang w:val="fr-FR"/>
        </w:rPr>
        <w:t xml:space="preserve"> </w:t>
      </w:r>
    </w:p>
    <w:p w:rsidR="006879D2" w:rsidRPr="006F0F1B" w:rsidRDefault="006879D2" w:rsidP="000529DC">
      <w:pPr>
        <w:pStyle w:val="SingleTxtG"/>
        <w:numPr>
          <w:ilvl w:val="0"/>
          <w:numId w:val="33"/>
        </w:numPr>
        <w:ind w:left="1134" w:firstLine="0"/>
        <w:rPr>
          <w:rFonts w:eastAsia="Calibri"/>
          <w:lang w:val="fr-FR"/>
        </w:rPr>
      </w:pPr>
      <w:r w:rsidRPr="006F0F1B">
        <w:rPr>
          <w:rFonts w:eastAsia="Calibri"/>
          <w:lang w:val="fr-FR"/>
        </w:rPr>
        <w:t xml:space="preserve">Les systèmes de justice parallèle appliquent </w:t>
      </w:r>
      <w:r w:rsidR="00500AB3">
        <w:rPr>
          <w:rFonts w:eastAsia="Calibri"/>
          <w:lang w:val="fr-FR"/>
        </w:rPr>
        <w:t>d</w:t>
      </w:r>
      <w:r w:rsidRPr="006F0F1B">
        <w:rPr>
          <w:rFonts w:eastAsia="Calibri"/>
          <w:lang w:val="fr-FR"/>
        </w:rPr>
        <w:t>es normes religieuses, coutumières ou autochtones qui sont, comme nous l</w:t>
      </w:r>
      <w:r w:rsidR="00BC7BEE">
        <w:rPr>
          <w:rFonts w:eastAsia="Calibri"/>
          <w:lang w:val="fr-FR"/>
        </w:rPr>
        <w:t>’</w:t>
      </w:r>
      <w:r w:rsidRPr="006F0F1B">
        <w:rPr>
          <w:rFonts w:eastAsia="Calibri"/>
          <w:lang w:val="fr-FR"/>
        </w:rPr>
        <w:t xml:space="preserve">avons montré, patriarcales. Ces systèmes sont majoritairement dominés par des hommes ce qui a tendance à perpétuer les inégalités et les interprétations patriarcales de la culture, engendrant </w:t>
      </w:r>
      <w:r w:rsidR="00500AB3" w:rsidRPr="00273ABE">
        <w:rPr>
          <w:rFonts w:eastAsia="Calibri"/>
          <w:lang w:val="fr-FR"/>
        </w:rPr>
        <w:t>d</w:t>
      </w:r>
      <w:r w:rsidRPr="00500AB3">
        <w:rPr>
          <w:rFonts w:eastAsia="Calibri"/>
          <w:lang w:val="fr-FR"/>
        </w:rPr>
        <w:t>es discriminations</w:t>
      </w:r>
      <w:r w:rsidRPr="006F0F1B">
        <w:rPr>
          <w:rFonts w:eastAsia="Calibri"/>
          <w:lang w:val="fr-FR"/>
        </w:rPr>
        <w:t xml:space="preserve"> </w:t>
      </w:r>
      <w:r w:rsidR="000529DC">
        <w:rPr>
          <w:rFonts w:eastAsia="Calibri"/>
          <w:lang w:val="fr-FR"/>
        </w:rPr>
        <w:t>à l’égard d</w:t>
      </w:r>
      <w:r w:rsidRPr="006F0F1B">
        <w:rPr>
          <w:rFonts w:eastAsia="Calibri"/>
          <w:lang w:val="fr-FR"/>
        </w:rPr>
        <w:t xml:space="preserve">es femmes. Que la loi soit religieuse ou coutumière, ses dispositions sont souvent interprétées de façon différente pour les hommes et pour les femmes. Les décisions émises et les procédures de ces mécanismes juridiques sont généralement discriminatoires </w:t>
      </w:r>
      <w:r w:rsidR="000529DC">
        <w:rPr>
          <w:rFonts w:eastAsia="Calibri"/>
          <w:lang w:val="fr-FR"/>
        </w:rPr>
        <w:t>à l’égard d</w:t>
      </w:r>
      <w:r w:rsidRPr="006F0F1B">
        <w:rPr>
          <w:rFonts w:eastAsia="Calibri"/>
          <w:lang w:val="fr-FR"/>
        </w:rPr>
        <w:t xml:space="preserve">es femmes. De plus, la violence fondée sur le genre n’est </w:t>
      </w:r>
      <w:r w:rsidR="00361484">
        <w:rPr>
          <w:rFonts w:eastAsia="Calibri"/>
          <w:lang w:val="fr-FR"/>
        </w:rPr>
        <w:t xml:space="preserve">pas </w:t>
      </w:r>
      <w:r w:rsidRPr="006F0F1B">
        <w:rPr>
          <w:rFonts w:eastAsia="Calibri"/>
          <w:lang w:val="fr-FR"/>
        </w:rPr>
        <w:t xml:space="preserve">couramment punie et peut être minimisée par les juridictions de droit religieux ou coutumier. </w:t>
      </w:r>
    </w:p>
    <w:p w:rsidR="006879D2" w:rsidRPr="006F0F1B" w:rsidRDefault="00896432" w:rsidP="00896432">
      <w:pPr>
        <w:pStyle w:val="H4G"/>
        <w:rPr>
          <w:lang w:val="fr-FR"/>
        </w:rPr>
      </w:pPr>
      <w:r w:rsidRPr="006F0F1B">
        <w:rPr>
          <w:lang w:val="fr-FR"/>
        </w:rPr>
        <w:tab/>
      </w:r>
      <w:r w:rsidRPr="006F0F1B">
        <w:rPr>
          <w:lang w:val="fr-FR"/>
        </w:rPr>
        <w:tab/>
      </w:r>
      <w:r w:rsidR="006879D2" w:rsidRPr="006F0F1B">
        <w:rPr>
          <w:lang w:val="fr-FR"/>
        </w:rPr>
        <w:t>Les systèmes juridiques pluralistes</w:t>
      </w:r>
      <w:r w:rsidR="005B0E15">
        <w:rPr>
          <w:lang w:val="fr-FR"/>
        </w:rPr>
        <w:t xml:space="preserve"> </w:t>
      </w:r>
      <w:r w:rsidR="006879D2" w:rsidRPr="006F0F1B">
        <w:rPr>
          <w:lang w:val="fr-FR"/>
        </w:rPr>
        <w:t xml:space="preserve">formels </w:t>
      </w:r>
    </w:p>
    <w:p w:rsidR="006879D2" w:rsidRPr="006F0F1B" w:rsidRDefault="006879D2" w:rsidP="00BA4C20">
      <w:pPr>
        <w:pStyle w:val="SingleTxtG"/>
        <w:numPr>
          <w:ilvl w:val="0"/>
          <w:numId w:val="33"/>
        </w:numPr>
        <w:ind w:left="1134" w:firstLine="0"/>
        <w:rPr>
          <w:rFonts w:eastAsia="Calibri"/>
          <w:lang w:val="fr-FR"/>
        </w:rPr>
      </w:pPr>
      <w:r w:rsidRPr="006F0F1B">
        <w:rPr>
          <w:rFonts w:eastAsia="Calibri"/>
          <w:lang w:val="fr-FR"/>
        </w:rPr>
        <w:t xml:space="preserve">La pluralité du système juridique est formel quand il a délégué, par sa constitution, sa législation ou ses décisions de justice, le pouvoir à une cour, un tribunal ou un arbitre </w:t>
      </w:r>
      <w:r w:rsidR="005B0E15">
        <w:rPr>
          <w:rFonts w:eastAsia="Calibri"/>
          <w:lang w:val="fr-FR"/>
        </w:rPr>
        <w:t>–</w:t>
      </w:r>
      <w:r w:rsidRPr="006F0F1B">
        <w:rPr>
          <w:rFonts w:eastAsia="Calibri"/>
          <w:lang w:val="fr-FR"/>
        </w:rPr>
        <w:t xml:space="preserve"> religieux, autochtone ou coutumier – afin d</w:t>
      </w:r>
      <w:r w:rsidR="00BC7BEE">
        <w:rPr>
          <w:rFonts w:eastAsia="Calibri"/>
          <w:lang w:val="fr-FR"/>
        </w:rPr>
        <w:t>’</w:t>
      </w:r>
      <w:r w:rsidRPr="006F0F1B">
        <w:rPr>
          <w:rFonts w:eastAsia="Calibri"/>
          <w:lang w:val="fr-FR"/>
        </w:rPr>
        <w:t>exercer sa compétence en matière de droit du statut personnel pour les femmes. Ces systèmes sont généralement reconnus par la législation étatique et certains sont réglementés par l’</w:t>
      </w:r>
      <w:r w:rsidR="003551BA" w:rsidRPr="00ED069E">
        <w:rPr>
          <w:rFonts w:eastAsia="Calibri"/>
          <w:lang w:val="fr-FR"/>
        </w:rPr>
        <w:t>État</w:t>
      </w:r>
      <w:r w:rsidR="00785C6A">
        <w:rPr>
          <w:rFonts w:eastAsia="Calibri"/>
          <w:lang w:val="fr-FR"/>
        </w:rPr>
        <w:t>,</w:t>
      </w:r>
      <w:r w:rsidRPr="006F0F1B">
        <w:rPr>
          <w:rFonts w:eastAsia="Calibri"/>
          <w:lang w:val="fr-FR"/>
        </w:rPr>
        <w:t xml:space="preserve"> prévoyant des procédures de recours, la conformité avec la législation étatique ou encore un soutien financier ou matériel. </w:t>
      </w:r>
    </w:p>
    <w:p w:rsidR="006879D2" w:rsidRPr="006F0F1B" w:rsidRDefault="006879D2" w:rsidP="008216BE">
      <w:pPr>
        <w:pStyle w:val="SingleTxtG"/>
        <w:numPr>
          <w:ilvl w:val="0"/>
          <w:numId w:val="33"/>
        </w:numPr>
        <w:ind w:left="1134" w:firstLine="0"/>
        <w:rPr>
          <w:rFonts w:eastAsia="Calibri"/>
          <w:lang w:val="fr-FR"/>
        </w:rPr>
      </w:pPr>
      <w:r w:rsidRPr="006F0F1B">
        <w:rPr>
          <w:rFonts w:eastAsia="Calibri"/>
          <w:lang w:val="fr-FR"/>
        </w:rPr>
        <w:t>Les bonnes pratiques concernant la protection du droit à l</w:t>
      </w:r>
      <w:r w:rsidR="00BC7BEE">
        <w:rPr>
          <w:rFonts w:eastAsia="Calibri"/>
          <w:lang w:val="fr-FR"/>
        </w:rPr>
        <w:t>’</w:t>
      </w:r>
      <w:r w:rsidRPr="006F0F1B">
        <w:rPr>
          <w:rFonts w:eastAsia="Calibri"/>
          <w:lang w:val="fr-FR"/>
        </w:rPr>
        <w:t xml:space="preserve">égalité des femmes dans les systèmes juridiques pluralistes formels prennent plusieurs formes. La réglementation constitutionnelle exigeant </w:t>
      </w:r>
      <w:r w:rsidR="00785C6A">
        <w:rPr>
          <w:rFonts w:eastAsia="Calibri"/>
          <w:lang w:val="fr-FR"/>
        </w:rPr>
        <w:t>de</w:t>
      </w:r>
      <w:r w:rsidRPr="006F0F1B">
        <w:rPr>
          <w:rFonts w:eastAsia="Calibri"/>
          <w:lang w:val="fr-FR"/>
        </w:rPr>
        <w:t xml:space="preserve"> la cour, </w:t>
      </w:r>
      <w:r w:rsidR="00785C6A">
        <w:rPr>
          <w:rFonts w:eastAsia="Calibri"/>
          <w:lang w:val="fr-FR"/>
        </w:rPr>
        <w:t>d</w:t>
      </w:r>
      <w:r w:rsidRPr="006F0F1B">
        <w:rPr>
          <w:rFonts w:eastAsia="Calibri"/>
          <w:lang w:val="fr-FR"/>
        </w:rPr>
        <w:t xml:space="preserve">u tribunal ou </w:t>
      </w:r>
      <w:r w:rsidR="00785C6A">
        <w:rPr>
          <w:rFonts w:eastAsia="Calibri"/>
          <w:lang w:val="fr-FR"/>
        </w:rPr>
        <w:t>de</w:t>
      </w:r>
      <w:r w:rsidRPr="006F0F1B">
        <w:rPr>
          <w:rFonts w:eastAsia="Calibri"/>
          <w:lang w:val="fr-FR"/>
        </w:rPr>
        <w:t xml:space="preserve"> l’arbitre autonome de respecter le droit à l</w:t>
      </w:r>
      <w:r w:rsidR="00BC7BEE">
        <w:rPr>
          <w:rFonts w:eastAsia="Calibri"/>
          <w:lang w:val="fr-FR"/>
        </w:rPr>
        <w:t>’</w:t>
      </w:r>
      <w:r w:rsidRPr="006F0F1B">
        <w:rPr>
          <w:rFonts w:eastAsia="Calibri"/>
          <w:lang w:val="fr-FR"/>
        </w:rPr>
        <w:t xml:space="preserve">égalité des </w:t>
      </w:r>
      <w:r w:rsidRPr="00250230">
        <w:rPr>
          <w:rFonts w:eastAsia="Calibri"/>
          <w:lang w:val="fr-FR"/>
        </w:rPr>
        <w:t xml:space="preserve">femmes à la </w:t>
      </w:r>
      <w:r w:rsidRPr="00AB5618">
        <w:rPr>
          <w:rFonts w:eastAsia="Calibri"/>
          <w:lang w:val="fr-FR"/>
        </w:rPr>
        <w:t xml:space="preserve">fois dans la </w:t>
      </w:r>
      <w:r w:rsidR="00AB5618" w:rsidRPr="00273ABE">
        <w:rPr>
          <w:rFonts w:eastAsia="Calibri"/>
          <w:lang w:val="fr-FR"/>
        </w:rPr>
        <w:t xml:space="preserve">représentation des femmes dans les systèmes </w:t>
      </w:r>
      <w:r w:rsidRPr="00AB5618">
        <w:rPr>
          <w:rFonts w:eastAsia="Calibri"/>
          <w:lang w:val="fr-FR"/>
        </w:rPr>
        <w:t xml:space="preserve">judiciaires et dans </w:t>
      </w:r>
      <w:r w:rsidR="00AB5618" w:rsidRPr="00273ABE">
        <w:rPr>
          <w:rFonts w:eastAsia="Calibri"/>
          <w:lang w:val="fr-FR"/>
        </w:rPr>
        <w:t>la formulation et l’application d</w:t>
      </w:r>
      <w:r w:rsidRPr="00AB5618">
        <w:rPr>
          <w:rFonts w:eastAsia="Calibri"/>
          <w:lang w:val="fr-FR"/>
        </w:rPr>
        <w:t xml:space="preserve">es règles </w:t>
      </w:r>
      <w:r w:rsidR="00AB5618" w:rsidRPr="00273ABE">
        <w:rPr>
          <w:rFonts w:eastAsia="Calibri"/>
          <w:lang w:val="fr-FR"/>
        </w:rPr>
        <w:t xml:space="preserve">de procédure et </w:t>
      </w:r>
      <w:r w:rsidRPr="00AB5618">
        <w:rPr>
          <w:rFonts w:eastAsia="Calibri"/>
          <w:lang w:val="fr-FR"/>
        </w:rPr>
        <w:t>de fond est</w:t>
      </w:r>
      <w:r w:rsidRPr="00BA4C20">
        <w:rPr>
          <w:rFonts w:eastAsia="Calibri"/>
          <w:lang w:val="fr-FR"/>
        </w:rPr>
        <w:t xml:space="preserve"> une bonne pratiq</w:t>
      </w:r>
      <w:r w:rsidRPr="006F0F1B">
        <w:rPr>
          <w:rFonts w:eastAsia="Calibri"/>
          <w:lang w:val="fr-FR"/>
        </w:rPr>
        <w:t xml:space="preserve">ue reconnue dans plusieurs </w:t>
      </w:r>
      <w:r w:rsidR="003551BA" w:rsidRPr="00ED069E">
        <w:rPr>
          <w:rFonts w:eastAsia="Calibri"/>
          <w:lang w:val="fr-FR"/>
        </w:rPr>
        <w:t>États</w:t>
      </w:r>
      <w:r w:rsidRPr="006F0F1B">
        <w:rPr>
          <w:rFonts w:eastAsia="Calibri"/>
          <w:lang w:val="fr-FR"/>
        </w:rPr>
        <w:t xml:space="preserve">. </w:t>
      </w:r>
      <w:r w:rsidRPr="00DA64F5">
        <w:rPr>
          <w:rFonts w:eastAsia="Calibri"/>
          <w:lang w:val="fr-FR"/>
        </w:rPr>
        <w:t xml:space="preserve">Depuis les années 1980, </w:t>
      </w:r>
      <w:r w:rsidR="00DC6680">
        <w:rPr>
          <w:rFonts w:eastAsia="Calibri"/>
          <w:lang w:val="fr-FR"/>
        </w:rPr>
        <w:t>11</w:t>
      </w:r>
      <w:r w:rsidR="008216BE">
        <w:rPr>
          <w:rFonts w:eastAsia="Calibri"/>
          <w:lang w:val="fr-FR"/>
        </w:rPr>
        <w:t> </w:t>
      </w:r>
      <w:r w:rsidR="003551BA" w:rsidRPr="00DA64F5">
        <w:rPr>
          <w:rFonts w:eastAsia="Calibri"/>
          <w:lang w:val="fr-FR"/>
        </w:rPr>
        <w:t>États</w:t>
      </w:r>
      <w:r w:rsidRPr="00DA64F5">
        <w:rPr>
          <w:rFonts w:eastAsia="Calibri"/>
          <w:lang w:val="fr-FR"/>
        </w:rPr>
        <w:t xml:space="preserve"> d’Amérique </w:t>
      </w:r>
      <w:r w:rsidR="00785C6A" w:rsidRPr="00273ABE">
        <w:rPr>
          <w:rFonts w:eastAsia="Calibri"/>
          <w:lang w:val="fr-FR"/>
        </w:rPr>
        <w:t>l</w:t>
      </w:r>
      <w:r w:rsidRPr="00DA64F5">
        <w:rPr>
          <w:rFonts w:eastAsia="Calibri"/>
          <w:lang w:val="fr-FR"/>
        </w:rPr>
        <w:t>atine ont formellement reconnu les normes et juridictions autochtones dans leurs lois constitutionnelles, en</w:t>
      </w:r>
      <w:r w:rsidRPr="001902C9">
        <w:rPr>
          <w:rFonts w:eastAsia="Calibri"/>
          <w:lang w:val="fr-FR"/>
        </w:rPr>
        <w:t xml:space="preserve"> exigeant que les systèmes juridiques communautaires autonomes respectent et fassent respecter les droits des femmes</w:t>
      </w:r>
      <w:r w:rsidRPr="006F0F1B">
        <w:rPr>
          <w:rStyle w:val="FootnoteReference"/>
          <w:rFonts w:eastAsia="Calibri"/>
          <w:lang w:val="fr-FR"/>
        </w:rPr>
        <w:footnoteReference w:id="41"/>
      </w:r>
      <w:r w:rsidRPr="006F0F1B">
        <w:rPr>
          <w:rFonts w:eastAsia="Calibri"/>
          <w:lang w:val="fr-FR"/>
        </w:rPr>
        <w:t xml:space="preserve">. </w:t>
      </w:r>
    </w:p>
    <w:p w:rsidR="006879D2" w:rsidRPr="006F0F1B" w:rsidRDefault="006879D2" w:rsidP="0028253A">
      <w:pPr>
        <w:pStyle w:val="SingleTxtG"/>
        <w:numPr>
          <w:ilvl w:val="0"/>
          <w:numId w:val="33"/>
        </w:numPr>
        <w:ind w:left="1134" w:firstLine="0"/>
        <w:rPr>
          <w:rFonts w:eastAsia="Calibri"/>
          <w:lang w:val="fr-FR"/>
        </w:rPr>
      </w:pPr>
      <w:r w:rsidRPr="006F0F1B">
        <w:rPr>
          <w:rFonts w:eastAsia="Calibri"/>
          <w:lang w:val="fr-FR"/>
        </w:rPr>
        <w:t>Le droit de recours devant les cours étatiques contre les décisions discriminatoires prises par les cours, les tribunaux ou les arbitres autonomes constitue aussi une bonne pratique. L’implication des femmes autochtones dans certains pays</w:t>
      </w:r>
      <w:r w:rsidR="006A7DA6">
        <w:rPr>
          <w:rFonts w:eastAsia="Calibri"/>
          <w:lang w:val="fr-FR"/>
        </w:rPr>
        <w:t>,</w:t>
      </w:r>
      <w:r w:rsidRPr="006F0F1B">
        <w:rPr>
          <w:rFonts w:eastAsia="Calibri"/>
          <w:lang w:val="fr-FR"/>
        </w:rPr>
        <w:t xml:space="preserve"> comme au Mexique et en </w:t>
      </w:r>
      <w:r w:rsidR="003551BA" w:rsidRPr="00ED069E">
        <w:rPr>
          <w:rFonts w:eastAsia="Calibri"/>
          <w:lang w:val="fr-FR"/>
        </w:rPr>
        <w:t>Équateur</w:t>
      </w:r>
      <w:r w:rsidRPr="006F0F1B">
        <w:rPr>
          <w:rStyle w:val="FootnoteReference"/>
          <w:rFonts w:eastAsia="Calibri"/>
          <w:lang w:val="fr-FR"/>
        </w:rPr>
        <w:footnoteReference w:id="42"/>
      </w:r>
      <w:r w:rsidRPr="006F0F1B">
        <w:rPr>
          <w:rFonts w:eastAsia="Calibri"/>
          <w:lang w:val="fr-FR"/>
        </w:rPr>
        <w:t>, pour permettre la reconnaissance des systèmes parallèles par l’</w:t>
      </w:r>
      <w:r w:rsidR="003551BA" w:rsidRPr="00ED069E">
        <w:rPr>
          <w:rFonts w:eastAsia="Calibri"/>
          <w:lang w:val="fr-FR"/>
        </w:rPr>
        <w:t>État</w:t>
      </w:r>
      <w:r w:rsidRPr="006F0F1B">
        <w:rPr>
          <w:rFonts w:eastAsia="Calibri"/>
          <w:lang w:val="fr-FR"/>
        </w:rPr>
        <w:t xml:space="preserve"> leur a permis de contester</w:t>
      </w:r>
      <w:r w:rsidR="00250230">
        <w:rPr>
          <w:rFonts w:eastAsia="Calibri"/>
          <w:lang w:val="fr-FR"/>
        </w:rPr>
        <w:t>,</w:t>
      </w:r>
      <w:r w:rsidRPr="006F0F1B">
        <w:rPr>
          <w:rFonts w:eastAsia="Calibri"/>
          <w:lang w:val="fr-FR"/>
        </w:rPr>
        <w:t xml:space="preserve"> auprès du système étatique</w:t>
      </w:r>
      <w:r w:rsidR="00250230">
        <w:rPr>
          <w:rFonts w:eastAsia="Calibri"/>
          <w:lang w:val="fr-FR"/>
        </w:rPr>
        <w:t>,</w:t>
      </w:r>
      <w:r w:rsidRPr="006F0F1B">
        <w:rPr>
          <w:rFonts w:eastAsia="Calibri"/>
          <w:lang w:val="fr-FR"/>
        </w:rPr>
        <w:t xml:space="preserve"> les discriminations dont elles étaient victimes au sein des systèmes juridiques autochtones. Ainsi, la participation des femmes en </w:t>
      </w:r>
      <w:r w:rsidRPr="006F0F1B">
        <w:rPr>
          <w:rFonts w:eastAsia="Calibri"/>
          <w:lang w:val="fr-FR"/>
        </w:rPr>
        <w:lastRenderedPageBreak/>
        <w:t>tant qu’arbitres juridiques</w:t>
      </w:r>
      <w:r w:rsidR="006A7DA6">
        <w:rPr>
          <w:rFonts w:eastAsia="Calibri"/>
          <w:lang w:val="fr-FR"/>
        </w:rPr>
        <w:t>,</w:t>
      </w:r>
      <w:r w:rsidRPr="006F0F1B">
        <w:rPr>
          <w:rFonts w:eastAsia="Calibri"/>
          <w:lang w:val="fr-FR"/>
        </w:rPr>
        <w:t xml:space="preserve"> mais aussi en tant que contributeurs à la création de la loi, est nécessaire </w:t>
      </w:r>
      <w:r w:rsidR="00CD5862" w:rsidRPr="006F0F1B">
        <w:rPr>
          <w:rFonts w:eastAsia="Calibri"/>
          <w:lang w:val="fr-FR"/>
        </w:rPr>
        <w:t>pour</w:t>
      </w:r>
      <w:r w:rsidRPr="006F0F1B">
        <w:rPr>
          <w:rFonts w:eastAsia="Calibri"/>
          <w:lang w:val="fr-FR"/>
        </w:rPr>
        <w:t xml:space="preserve"> mettre en lumière les discriminations et les sujets sensibles, </w:t>
      </w:r>
      <w:r w:rsidR="0028253A">
        <w:rPr>
          <w:rFonts w:eastAsia="Calibri"/>
          <w:lang w:val="fr-FR"/>
        </w:rPr>
        <w:t>comme</w:t>
      </w:r>
      <w:r w:rsidRPr="006F0F1B">
        <w:rPr>
          <w:rFonts w:eastAsia="Calibri"/>
          <w:lang w:val="fr-FR"/>
        </w:rPr>
        <w:t xml:space="preserve"> le viol ou la violence domestique, dont elles sont majoritairement victimes.</w:t>
      </w:r>
    </w:p>
    <w:p w:rsidR="006879D2" w:rsidRPr="006F0F1B" w:rsidRDefault="006879D2" w:rsidP="0028253A">
      <w:pPr>
        <w:pStyle w:val="SingleTxtG"/>
        <w:numPr>
          <w:ilvl w:val="0"/>
          <w:numId w:val="33"/>
        </w:numPr>
        <w:ind w:left="1134" w:firstLine="0"/>
        <w:rPr>
          <w:rFonts w:eastAsia="Calibri"/>
          <w:lang w:val="fr-FR"/>
        </w:rPr>
      </w:pPr>
      <w:r w:rsidRPr="006F0F1B">
        <w:rPr>
          <w:rFonts w:eastAsia="Calibri"/>
          <w:lang w:val="fr-FR"/>
        </w:rPr>
        <w:t xml:space="preserve">L’affirmation de la primauté du </w:t>
      </w:r>
      <w:r w:rsidR="00161EB5" w:rsidRPr="006F0F1B">
        <w:rPr>
          <w:rFonts w:eastAsia="Calibri"/>
          <w:lang w:val="fr-FR"/>
        </w:rPr>
        <w:t>droit internationa</w:t>
      </w:r>
      <w:r w:rsidR="00161EB5">
        <w:rPr>
          <w:rFonts w:eastAsia="Calibri"/>
          <w:lang w:val="fr-FR"/>
        </w:rPr>
        <w:t>l relatif aux droits de l’homme</w:t>
      </w:r>
      <w:r w:rsidRPr="006F0F1B">
        <w:rPr>
          <w:rFonts w:eastAsia="Calibri"/>
          <w:lang w:val="fr-FR"/>
        </w:rPr>
        <w:t xml:space="preserve"> et des lois constitutionnelles sur les lois religieuses, coutumières ou autochtones est une étape clé pour permettre l’émancipation et l’autonomie des femmes. Le droit coutumier, religieux ou indigène, </w:t>
      </w:r>
      <w:r w:rsidR="0028253A">
        <w:rPr>
          <w:rFonts w:eastAsia="Calibri"/>
          <w:lang w:val="fr-FR"/>
        </w:rPr>
        <w:t xml:space="preserve">et </w:t>
      </w:r>
      <w:r w:rsidRPr="006F0F1B">
        <w:rPr>
          <w:rFonts w:eastAsia="Calibri"/>
          <w:lang w:val="fr-FR"/>
        </w:rPr>
        <w:t>les affaires familiales doivent être soumis à la clause d’égalité prévue dans les lois constitutionnelles. Pour plus d’efficacité dans l’application du principe d’égalité, des instances étatiques doivent être mises en place pour permettre le suivi et le contrôle, tels que réalisés au Canada, en Colombie ou encore en Afrique du Sud</w:t>
      </w:r>
      <w:r w:rsidRPr="006F0F1B">
        <w:rPr>
          <w:rStyle w:val="FootnoteReference"/>
          <w:rFonts w:eastAsia="Calibri"/>
          <w:lang w:val="fr-FR"/>
        </w:rPr>
        <w:footnoteReference w:id="43"/>
      </w:r>
      <w:r w:rsidRPr="006F0F1B">
        <w:rPr>
          <w:rFonts w:eastAsia="Calibri"/>
          <w:lang w:val="fr-FR"/>
        </w:rPr>
        <w:t xml:space="preserve">. </w:t>
      </w:r>
    </w:p>
    <w:p w:rsidR="006879D2" w:rsidRPr="006F0F1B" w:rsidRDefault="00896432" w:rsidP="00896432">
      <w:pPr>
        <w:pStyle w:val="H4G"/>
        <w:rPr>
          <w:lang w:val="fr-FR"/>
        </w:rPr>
      </w:pPr>
      <w:r w:rsidRPr="006F0F1B">
        <w:rPr>
          <w:lang w:val="fr-FR"/>
        </w:rPr>
        <w:tab/>
      </w:r>
      <w:r w:rsidRPr="006F0F1B">
        <w:rPr>
          <w:lang w:val="fr-FR"/>
        </w:rPr>
        <w:tab/>
      </w:r>
      <w:r w:rsidR="006879D2" w:rsidRPr="006F0F1B">
        <w:rPr>
          <w:lang w:val="fr-FR"/>
        </w:rPr>
        <w:t>Les systèmes juridiques pluralistes informels</w:t>
      </w:r>
    </w:p>
    <w:p w:rsidR="006879D2" w:rsidRPr="006F0F1B" w:rsidRDefault="006879D2" w:rsidP="006F0F1B">
      <w:pPr>
        <w:pStyle w:val="SingleTxtG"/>
        <w:numPr>
          <w:ilvl w:val="0"/>
          <w:numId w:val="33"/>
        </w:numPr>
        <w:ind w:left="1134" w:firstLine="0"/>
        <w:rPr>
          <w:rFonts w:eastAsia="Calibri"/>
          <w:lang w:val="fr-FR"/>
        </w:rPr>
      </w:pPr>
      <w:r w:rsidRPr="006F0F1B">
        <w:rPr>
          <w:rFonts w:eastAsia="Calibri"/>
          <w:lang w:val="fr-FR"/>
        </w:rPr>
        <w:t>L’exercice informel d’une juridiction existe quand sa compétence n’est pas le résultat d’une délégation expresse du pouvoir judiciaire par l</w:t>
      </w:r>
      <w:r w:rsidR="00BC7BEE">
        <w:rPr>
          <w:rFonts w:eastAsia="Calibri"/>
          <w:lang w:val="fr-FR"/>
        </w:rPr>
        <w:t>’</w:t>
      </w:r>
      <w:r w:rsidR="003551BA" w:rsidRPr="00ED069E">
        <w:rPr>
          <w:rFonts w:eastAsia="Calibri"/>
          <w:lang w:val="fr-FR"/>
        </w:rPr>
        <w:t>État</w:t>
      </w:r>
      <w:r w:rsidRPr="006F0F1B">
        <w:rPr>
          <w:rFonts w:eastAsia="Calibri"/>
          <w:lang w:val="fr-FR"/>
        </w:rPr>
        <w:t xml:space="preserve">. </w:t>
      </w:r>
      <w:r w:rsidR="009C0C62" w:rsidRPr="006F0F1B">
        <w:rPr>
          <w:rFonts w:eastAsia="Calibri"/>
          <w:lang w:val="fr-FR"/>
        </w:rPr>
        <w:t>Ces</w:t>
      </w:r>
      <w:r w:rsidRPr="006F0F1B">
        <w:rPr>
          <w:rFonts w:eastAsia="Calibri"/>
          <w:lang w:val="fr-FR"/>
        </w:rPr>
        <w:t xml:space="preserve"> juridictions n</w:t>
      </w:r>
      <w:r w:rsidR="009C0C62" w:rsidRPr="006F0F1B">
        <w:rPr>
          <w:rFonts w:eastAsia="Calibri"/>
          <w:lang w:val="fr-FR"/>
        </w:rPr>
        <w:t>e sont</w:t>
      </w:r>
      <w:r w:rsidRPr="006F0F1B">
        <w:rPr>
          <w:rFonts w:eastAsia="Calibri"/>
          <w:lang w:val="fr-FR"/>
        </w:rPr>
        <w:t xml:space="preserve"> généralement pas reconnu</w:t>
      </w:r>
      <w:r w:rsidR="009C0C62" w:rsidRPr="006F0F1B">
        <w:rPr>
          <w:rFonts w:eastAsia="Calibri"/>
          <w:lang w:val="fr-FR"/>
        </w:rPr>
        <w:t>es</w:t>
      </w:r>
      <w:r w:rsidRPr="006F0F1B">
        <w:rPr>
          <w:rFonts w:eastAsia="Calibri"/>
          <w:lang w:val="fr-FR"/>
        </w:rPr>
        <w:t xml:space="preserve"> par l’</w:t>
      </w:r>
      <w:r w:rsidR="003551BA" w:rsidRPr="00ED069E">
        <w:rPr>
          <w:rFonts w:eastAsia="Calibri"/>
          <w:lang w:val="fr-FR"/>
        </w:rPr>
        <w:t>État</w:t>
      </w:r>
      <w:r w:rsidRPr="006F0F1B">
        <w:rPr>
          <w:rFonts w:eastAsia="Calibri"/>
          <w:lang w:val="fr-FR"/>
        </w:rPr>
        <w:t>. Cela peut se produire là où il y a l’exercice non autorisé, non toléré et/ou ignoré par l’</w:t>
      </w:r>
      <w:r w:rsidR="003551BA" w:rsidRPr="00ED069E">
        <w:rPr>
          <w:rFonts w:eastAsia="Calibri"/>
          <w:lang w:val="fr-FR"/>
        </w:rPr>
        <w:t>État</w:t>
      </w:r>
      <w:r w:rsidRPr="006F0F1B">
        <w:rPr>
          <w:rFonts w:eastAsia="Calibri"/>
          <w:lang w:val="fr-FR"/>
        </w:rPr>
        <w:t xml:space="preserve"> d’une autorité religieuse, autochtone ou coutumière de juges, d’un arbitrage ou d’autres formes de procédures alternatives de résolution des litiges. Ces juridictions agissent en dehors du contrôle étatique, et bien que certaines aient pu être reconnues précédemment par la législation, souvent sous des anciens systèmes coloniaux, elles échappent à présent au contrôle étatique. </w:t>
      </w:r>
    </w:p>
    <w:p w:rsidR="006879D2" w:rsidRPr="006F0F1B" w:rsidRDefault="006879D2" w:rsidP="000529DC">
      <w:pPr>
        <w:pStyle w:val="SingleTxtG"/>
        <w:numPr>
          <w:ilvl w:val="0"/>
          <w:numId w:val="33"/>
        </w:numPr>
        <w:ind w:left="1134" w:firstLine="0"/>
        <w:rPr>
          <w:rFonts w:eastAsia="Calibri"/>
          <w:color w:val="000000"/>
          <w:lang w:val="fr-FR"/>
        </w:rPr>
      </w:pPr>
      <w:r w:rsidRPr="006F0F1B">
        <w:rPr>
          <w:rFonts w:eastAsia="Calibri"/>
          <w:lang w:val="fr-FR"/>
        </w:rPr>
        <w:t>Quand ces systèmes informels sont constatés par l’</w:t>
      </w:r>
      <w:r w:rsidR="003551BA" w:rsidRPr="00ED069E">
        <w:rPr>
          <w:rFonts w:eastAsia="Calibri"/>
          <w:lang w:val="fr-FR"/>
        </w:rPr>
        <w:t>État</w:t>
      </w:r>
      <w:r w:rsidRPr="006F0F1B">
        <w:rPr>
          <w:rFonts w:eastAsia="Calibri"/>
          <w:lang w:val="fr-FR"/>
        </w:rPr>
        <w:t xml:space="preserve">, celui-ci doit mettre en place des mécanismes de contrôle et des procédures de recours auprès du système juridique étatique pour annuler des décisions discriminatoires </w:t>
      </w:r>
      <w:r w:rsidR="000529DC">
        <w:rPr>
          <w:rFonts w:eastAsia="Calibri"/>
          <w:lang w:val="fr-FR"/>
        </w:rPr>
        <w:t>à l’égard d</w:t>
      </w:r>
      <w:r w:rsidRPr="006F0F1B">
        <w:rPr>
          <w:rFonts w:eastAsia="Calibri"/>
          <w:lang w:val="fr-FR"/>
        </w:rPr>
        <w:t>es femmes. L’</w:t>
      </w:r>
      <w:r w:rsidR="003551BA" w:rsidRPr="00ED069E">
        <w:rPr>
          <w:rFonts w:eastAsia="Calibri"/>
          <w:lang w:val="fr-FR"/>
        </w:rPr>
        <w:t>État</w:t>
      </w:r>
      <w:r w:rsidRPr="006F0F1B">
        <w:rPr>
          <w:rFonts w:eastAsia="Calibri"/>
          <w:lang w:val="fr-FR"/>
        </w:rPr>
        <w:t xml:space="preserve"> doit faire l’effort de fournir des alternatives à ces systèmes juridiques informels, notamment en rendant le système étatique formel plus accessible.</w:t>
      </w:r>
      <w:r w:rsidR="002D54FB" w:rsidRPr="006F0F1B">
        <w:rPr>
          <w:rFonts w:eastAsia="Calibri"/>
          <w:lang w:val="fr-FR"/>
        </w:rPr>
        <w:t xml:space="preserve"> </w:t>
      </w:r>
    </w:p>
    <w:p w:rsidR="006879D2" w:rsidRPr="006F0F1B" w:rsidRDefault="00250230" w:rsidP="00250230">
      <w:pPr>
        <w:pStyle w:val="SingleTxtG"/>
        <w:numPr>
          <w:ilvl w:val="0"/>
          <w:numId w:val="33"/>
        </w:numPr>
        <w:ind w:left="1134" w:firstLine="0"/>
        <w:rPr>
          <w:rFonts w:eastAsia="Calibri"/>
          <w:lang w:val="fr-FR"/>
        </w:rPr>
      </w:pPr>
      <w:r>
        <w:rPr>
          <w:rFonts w:eastAsia="Calibri"/>
          <w:color w:val="000000"/>
          <w:lang w:val="fr-FR"/>
        </w:rPr>
        <w:t>L</w:t>
      </w:r>
      <w:r w:rsidR="006879D2" w:rsidRPr="006F0F1B">
        <w:rPr>
          <w:rFonts w:eastAsia="Calibri"/>
          <w:color w:val="000000"/>
          <w:lang w:val="fr-FR"/>
        </w:rPr>
        <w:t>es</w:t>
      </w:r>
      <w:r w:rsidR="002D54FB" w:rsidRPr="006F0F1B">
        <w:rPr>
          <w:rFonts w:eastAsia="Calibri"/>
          <w:color w:val="000000"/>
          <w:lang w:val="fr-FR"/>
        </w:rPr>
        <w:t xml:space="preserve"> </w:t>
      </w:r>
      <w:r w:rsidR="006879D2" w:rsidRPr="006F0F1B">
        <w:rPr>
          <w:rFonts w:eastAsia="Calibri"/>
          <w:color w:val="000000"/>
          <w:lang w:val="fr-FR"/>
        </w:rPr>
        <w:t>systèmes</w:t>
      </w:r>
      <w:r w:rsidR="002D54FB" w:rsidRPr="006F0F1B">
        <w:rPr>
          <w:rFonts w:eastAsia="Calibri"/>
          <w:color w:val="000000"/>
          <w:lang w:val="fr-FR"/>
        </w:rPr>
        <w:t xml:space="preserve"> </w:t>
      </w:r>
      <w:r w:rsidR="006879D2" w:rsidRPr="006F0F1B">
        <w:rPr>
          <w:rFonts w:eastAsia="Calibri"/>
          <w:color w:val="000000"/>
          <w:lang w:val="fr-FR"/>
        </w:rPr>
        <w:t>juridiques</w:t>
      </w:r>
      <w:r w:rsidR="002D54FB" w:rsidRPr="006F0F1B">
        <w:rPr>
          <w:rFonts w:eastAsia="Calibri"/>
          <w:color w:val="000000"/>
          <w:lang w:val="fr-FR"/>
        </w:rPr>
        <w:t xml:space="preserve"> </w:t>
      </w:r>
      <w:r w:rsidR="006879D2" w:rsidRPr="006F0F1B">
        <w:rPr>
          <w:rFonts w:eastAsia="Calibri"/>
          <w:color w:val="000000"/>
          <w:lang w:val="fr-FR"/>
        </w:rPr>
        <w:t>pluralistes créent</w:t>
      </w:r>
      <w:r w:rsidR="002D54FB" w:rsidRPr="006F0F1B">
        <w:rPr>
          <w:rFonts w:eastAsia="Calibri"/>
          <w:color w:val="000000"/>
          <w:lang w:val="fr-FR"/>
        </w:rPr>
        <w:t xml:space="preserve"> </w:t>
      </w:r>
      <w:r w:rsidR="006879D2" w:rsidRPr="006F0F1B">
        <w:rPr>
          <w:rFonts w:eastAsia="Calibri"/>
          <w:color w:val="000000"/>
          <w:lang w:val="fr-FR"/>
        </w:rPr>
        <w:t>des</w:t>
      </w:r>
      <w:r w:rsidR="002D54FB" w:rsidRPr="006F0F1B">
        <w:rPr>
          <w:rFonts w:eastAsia="Calibri"/>
          <w:color w:val="000000"/>
          <w:lang w:val="fr-FR"/>
        </w:rPr>
        <w:t xml:space="preserve"> </w:t>
      </w:r>
      <w:r w:rsidR="006879D2" w:rsidRPr="006F0F1B">
        <w:rPr>
          <w:rFonts w:eastAsia="Calibri"/>
          <w:color w:val="000000"/>
          <w:lang w:val="fr-FR"/>
        </w:rPr>
        <w:t>situations</w:t>
      </w:r>
      <w:r w:rsidR="002D54FB" w:rsidRPr="006F0F1B">
        <w:rPr>
          <w:rFonts w:eastAsia="Calibri"/>
          <w:color w:val="000000"/>
          <w:lang w:val="fr-FR"/>
        </w:rPr>
        <w:t xml:space="preserve"> </w:t>
      </w:r>
      <w:r w:rsidR="006879D2" w:rsidRPr="006F0F1B">
        <w:rPr>
          <w:rFonts w:eastAsia="Calibri"/>
          <w:color w:val="000000"/>
          <w:lang w:val="fr-FR"/>
        </w:rPr>
        <w:t>juridiques</w:t>
      </w:r>
      <w:r w:rsidR="002D54FB" w:rsidRPr="006F0F1B">
        <w:rPr>
          <w:rFonts w:eastAsia="Calibri"/>
          <w:color w:val="000000"/>
          <w:lang w:val="fr-FR"/>
        </w:rPr>
        <w:t xml:space="preserve"> </w:t>
      </w:r>
      <w:r w:rsidR="006879D2" w:rsidRPr="006F0F1B">
        <w:rPr>
          <w:rFonts w:eastAsia="Calibri"/>
          <w:color w:val="000000"/>
          <w:lang w:val="fr-FR"/>
        </w:rPr>
        <w:t>complexes</w:t>
      </w:r>
      <w:r w:rsidR="002D54FB" w:rsidRPr="006F0F1B">
        <w:rPr>
          <w:rFonts w:eastAsia="Calibri"/>
          <w:color w:val="000000"/>
          <w:lang w:val="fr-FR"/>
        </w:rPr>
        <w:t xml:space="preserve"> </w:t>
      </w:r>
      <w:r w:rsidR="006879D2" w:rsidRPr="006F0F1B">
        <w:rPr>
          <w:rFonts w:eastAsia="Calibri"/>
          <w:color w:val="000000"/>
          <w:lang w:val="fr-FR"/>
        </w:rPr>
        <w:t>et</w:t>
      </w:r>
      <w:r w:rsidR="002D54FB" w:rsidRPr="006F0F1B">
        <w:rPr>
          <w:rFonts w:eastAsia="Calibri"/>
          <w:color w:val="000000"/>
          <w:lang w:val="fr-FR"/>
        </w:rPr>
        <w:t xml:space="preserve"> </w:t>
      </w:r>
      <w:r w:rsidR="006879D2" w:rsidRPr="006F0F1B">
        <w:rPr>
          <w:rFonts w:eastAsia="Calibri"/>
          <w:color w:val="000000"/>
          <w:lang w:val="fr-FR"/>
        </w:rPr>
        <w:t>confuses.</w:t>
      </w:r>
      <w:r w:rsidR="002D54FB" w:rsidRPr="006F0F1B">
        <w:rPr>
          <w:rFonts w:eastAsia="Calibri"/>
          <w:color w:val="000000"/>
          <w:lang w:val="fr-FR"/>
        </w:rPr>
        <w:t xml:space="preserve"> </w:t>
      </w:r>
      <w:r w:rsidR="006879D2" w:rsidRPr="006F0F1B">
        <w:rPr>
          <w:rFonts w:eastAsia="Calibri"/>
          <w:color w:val="000000"/>
          <w:lang w:val="fr-FR"/>
        </w:rPr>
        <w:t>Différents</w:t>
      </w:r>
      <w:r w:rsidR="002D54FB" w:rsidRPr="006F0F1B">
        <w:rPr>
          <w:rFonts w:eastAsia="Calibri"/>
          <w:color w:val="000000"/>
          <w:lang w:val="fr-FR"/>
        </w:rPr>
        <w:t xml:space="preserve"> </w:t>
      </w:r>
      <w:r w:rsidR="006879D2" w:rsidRPr="006F0F1B">
        <w:rPr>
          <w:rFonts w:eastAsia="Calibri"/>
          <w:color w:val="000000"/>
          <w:lang w:val="fr-FR"/>
        </w:rPr>
        <w:t>organes</w:t>
      </w:r>
      <w:r w:rsidR="002D54FB" w:rsidRPr="006F0F1B">
        <w:rPr>
          <w:rFonts w:eastAsia="Calibri"/>
          <w:color w:val="000000"/>
          <w:lang w:val="fr-FR"/>
        </w:rPr>
        <w:t xml:space="preserve"> </w:t>
      </w:r>
      <w:r w:rsidR="00F42701">
        <w:rPr>
          <w:rFonts w:eastAsia="Calibri"/>
          <w:color w:val="000000"/>
          <w:lang w:val="fr-FR"/>
        </w:rPr>
        <w:t xml:space="preserve">conventionnels </w:t>
      </w:r>
      <w:r w:rsidR="006879D2" w:rsidRPr="0026445F">
        <w:rPr>
          <w:rFonts w:eastAsia="Calibri"/>
          <w:color w:val="000000"/>
          <w:lang w:val="fr-FR"/>
        </w:rPr>
        <w:t>de</w:t>
      </w:r>
      <w:r w:rsidR="002D54FB" w:rsidRPr="0026445F">
        <w:rPr>
          <w:rFonts w:eastAsia="Calibri"/>
          <w:color w:val="000000"/>
          <w:lang w:val="fr-FR"/>
        </w:rPr>
        <w:t xml:space="preserve"> </w:t>
      </w:r>
      <w:r w:rsidR="006879D2" w:rsidRPr="0026445F">
        <w:rPr>
          <w:rFonts w:eastAsia="Calibri"/>
          <w:color w:val="000000"/>
          <w:lang w:val="fr-FR"/>
        </w:rPr>
        <w:t>l’ONU</w:t>
      </w:r>
      <w:r w:rsidR="002D54FB" w:rsidRPr="0026445F">
        <w:rPr>
          <w:rFonts w:eastAsia="Calibri"/>
          <w:color w:val="000000"/>
          <w:lang w:val="fr-FR"/>
        </w:rPr>
        <w:t xml:space="preserve"> </w:t>
      </w:r>
      <w:r w:rsidR="006879D2" w:rsidRPr="0026445F">
        <w:rPr>
          <w:rFonts w:eastAsia="Calibri"/>
          <w:color w:val="000000"/>
          <w:lang w:val="fr-FR"/>
        </w:rPr>
        <w:t>ont</w:t>
      </w:r>
      <w:r w:rsidR="002D54FB" w:rsidRPr="006F0F1B">
        <w:rPr>
          <w:rFonts w:eastAsia="Calibri"/>
          <w:color w:val="000000"/>
          <w:lang w:val="fr-FR"/>
        </w:rPr>
        <w:t xml:space="preserve"> </w:t>
      </w:r>
      <w:r w:rsidR="006879D2" w:rsidRPr="006F0F1B">
        <w:rPr>
          <w:rFonts w:eastAsia="Calibri"/>
          <w:color w:val="000000"/>
          <w:lang w:val="fr-FR"/>
        </w:rPr>
        <w:t>cherché</w:t>
      </w:r>
      <w:r w:rsidR="002D54FB" w:rsidRPr="006F0F1B">
        <w:rPr>
          <w:rFonts w:eastAsia="Calibri"/>
          <w:color w:val="000000"/>
          <w:lang w:val="fr-FR"/>
        </w:rPr>
        <w:t xml:space="preserve"> </w:t>
      </w:r>
      <w:r w:rsidR="006879D2" w:rsidRPr="006F0F1B">
        <w:rPr>
          <w:rFonts w:eastAsia="Calibri"/>
          <w:color w:val="000000"/>
          <w:lang w:val="fr-FR"/>
        </w:rPr>
        <w:t>à</w:t>
      </w:r>
      <w:r w:rsidR="002D54FB" w:rsidRPr="006F0F1B">
        <w:rPr>
          <w:rFonts w:eastAsia="Calibri"/>
          <w:color w:val="000000"/>
          <w:lang w:val="fr-FR"/>
        </w:rPr>
        <w:t xml:space="preserve"> </w:t>
      </w:r>
      <w:r w:rsidR="006879D2" w:rsidRPr="006F0F1B">
        <w:rPr>
          <w:rFonts w:eastAsia="Calibri"/>
          <w:color w:val="000000"/>
          <w:lang w:val="fr-FR"/>
        </w:rPr>
        <w:t>montrer les</w:t>
      </w:r>
      <w:r w:rsidR="002D54FB" w:rsidRPr="006F0F1B">
        <w:rPr>
          <w:rFonts w:eastAsia="Calibri"/>
          <w:color w:val="000000"/>
          <w:lang w:val="fr-FR"/>
        </w:rPr>
        <w:t xml:space="preserve"> </w:t>
      </w:r>
      <w:r w:rsidR="006879D2" w:rsidRPr="006F0F1B">
        <w:rPr>
          <w:rFonts w:eastAsia="Calibri"/>
          <w:color w:val="000000"/>
          <w:lang w:val="fr-FR"/>
        </w:rPr>
        <w:t xml:space="preserve">limites que ces systèmes créent pour l’exercice du droit à l’égalité des femmes dans leur vie privée </w:t>
      </w:r>
      <w:r>
        <w:rPr>
          <w:rFonts w:eastAsia="Calibri"/>
          <w:color w:val="000000"/>
          <w:lang w:val="fr-FR"/>
        </w:rPr>
        <w:t xml:space="preserve">et </w:t>
      </w:r>
      <w:r w:rsidR="006879D2" w:rsidRPr="006F0F1B">
        <w:rPr>
          <w:rFonts w:eastAsia="Calibri"/>
          <w:color w:val="000000"/>
          <w:lang w:val="fr-FR"/>
        </w:rPr>
        <w:t>publique, tout en admettant la richesse de la diversité culturelle</w:t>
      </w:r>
      <w:r w:rsidR="006879D2" w:rsidRPr="006F0F1B">
        <w:rPr>
          <w:rStyle w:val="FootnoteReference"/>
          <w:rFonts w:eastAsia="Calibri"/>
          <w:lang w:val="fr-FR"/>
        </w:rPr>
        <w:footnoteReference w:id="44"/>
      </w:r>
      <w:r w:rsidR="006879D2" w:rsidRPr="006F0F1B">
        <w:rPr>
          <w:rFonts w:eastAsia="Calibri"/>
          <w:color w:val="000000"/>
          <w:lang w:val="fr-FR"/>
        </w:rPr>
        <w:t xml:space="preserve">. </w:t>
      </w:r>
      <w:r w:rsidR="006879D2" w:rsidRPr="006F0F1B">
        <w:rPr>
          <w:rFonts w:eastAsia="Calibri"/>
          <w:lang w:val="fr-FR"/>
        </w:rPr>
        <w:t>Même s’il n</w:t>
      </w:r>
      <w:r w:rsidR="00BC7BEE">
        <w:rPr>
          <w:rFonts w:eastAsia="Calibri"/>
          <w:lang w:val="fr-FR"/>
        </w:rPr>
        <w:t>’</w:t>
      </w:r>
      <w:r w:rsidR="006879D2" w:rsidRPr="006F0F1B">
        <w:rPr>
          <w:rFonts w:eastAsia="Calibri"/>
          <w:lang w:val="fr-FR"/>
        </w:rPr>
        <w:t xml:space="preserve">y a pas de reconnaissance distincte </w:t>
      </w:r>
      <w:r w:rsidR="006879D2" w:rsidRPr="005903BC">
        <w:rPr>
          <w:rFonts w:eastAsia="Calibri"/>
          <w:lang w:val="fr-FR"/>
        </w:rPr>
        <w:t>de l</w:t>
      </w:r>
      <w:r w:rsidR="00BC7BEE" w:rsidRPr="005903BC">
        <w:rPr>
          <w:rFonts w:eastAsia="Calibri"/>
          <w:lang w:val="fr-FR"/>
        </w:rPr>
        <w:t>’</w:t>
      </w:r>
      <w:r w:rsidR="003551BA" w:rsidRPr="005903BC">
        <w:rPr>
          <w:rFonts w:eastAsia="Calibri"/>
          <w:lang w:val="fr-FR"/>
        </w:rPr>
        <w:t>État</w:t>
      </w:r>
      <w:r w:rsidR="006879D2" w:rsidRPr="006F0F1B">
        <w:rPr>
          <w:rFonts w:eastAsia="Calibri"/>
          <w:lang w:val="fr-FR"/>
        </w:rPr>
        <w:t xml:space="preserve"> des juridictions informelles ou de délégation officielle de fonctions de l</w:t>
      </w:r>
      <w:r w:rsidR="00BC7BEE">
        <w:rPr>
          <w:rFonts w:eastAsia="Calibri"/>
          <w:lang w:val="fr-FR"/>
        </w:rPr>
        <w:t>’</w:t>
      </w:r>
      <w:r w:rsidR="003551BA" w:rsidRPr="00ED069E">
        <w:rPr>
          <w:rFonts w:eastAsia="Calibri"/>
          <w:lang w:val="fr-FR"/>
        </w:rPr>
        <w:t>État</w:t>
      </w:r>
      <w:r w:rsidR="006879D2" w:rsidRPr="006F0F1B">
        <w:rPr>
          <w:rFonts w:eastAsia="Calibri"/>
          <w:lang w:val="fr-FR"/>
        </w:rPr>
        <w:t xml:space="preserve"> aux chefs traditionnels, l</w:t>
      </w:r>
      <w:r w:rsidR="00BC7BEE">
        <w:rPr>
          <w:rFonts w:eastAsia="Calibri"/>
          <w:lang w:val="fr-FR"/>
        </w:rPr>
        <w:t>’</w:t>
      </w:r>
      <w:r w:rsidR="003551BA" w:rsidRPr="00ED069E">
        <w:rPr>
          <w:rFonts w:eastAsia="Calibri"/>
          <w:lang w:val="fr-FR"/>
        </w:rPr>
        <w:t>État</w:t>
      </w:r>
      <w:r w:rsidR="006879D2" w:rsidRPr="006F0F1B">
        <w:rPr>
          <w:rFonts w:eastAsia="Calibri"/>
          <w:lang w:val="fr-FR"/>
        </w:rPr>
        <w:t xml:space="preserve"> doit étendre sa protection, tel que mentionné à l’</w:t>
      </w:r>
      <w:r w:rsidR="00272691">
        <w:rPr>
          <w:rFonts w:eastAsia="Calibri"/>
          <w:lang w:val="fr-FR"/>
        </w:rPr>
        <w:t>article </w:t>
      </w:r>
      <w:r w:rsidR="006879D2" w:rsidRPr="006F0F1B">
        <w:rPr>
          <w:rFonts w:eastAsia="Calibri"/>
          <w:lang w:val="fr-FR"/>
        </w:rPr>
        <w:t xml:space="preserve">2 de la Convention </w:t>
      </w:r>
      <w:r w:rsidR="00F45127">
        <w:rPr>
          <w:rFonts w:eastAsia="Calibri"/>
          <w:lang w:val="fr-FR"/>
        </w:rPr>
        <w:t>sur l’élimination de toutes les formes de discrimination à l’égard des femmes</w:t>
      </w:r>
      <w:r w:rsidR="006879D2" w:rsidRPr="006F0F1B">
        <w:rPr>
          <w:rFonts w:eastAsia="Calibri"/>
          <w:lang w:val="fr-FR"/>
        </w:rPr>
        <w:t>.</w:t>
      </w:r>
    </w:p>
    <w:p w:rsidR="006879D2" w:rsidRPr="006F0F1B" w:rsidRDefault="00896432" w:rsidP="00962988">
      <w:pPr>
        <w:pStyle w:val="H1G"/>
        <w:rPr>
          <w:lang w:val="fr-FR" w:eastAsia="en-GB"/>
        </w:rPr>
      </w:pPr>
      <w:bookmarkStart w:id="23" w:name="_Toc412190773"/>
      <w:bookmarkStart w:id="24" w:name="_Toc414009672"/>
      <w:r w:rsidRPr="006F0F1B">
        <w:rPr>
          <w:lang w:val="fr-FR" w:eastAsia="en-GB"/>
        </w:rPr>
        <w:tab/>
        <w:t>D.</w:t>
      </w:r>
      <w:r w:rsidRPr="006F0F1B">
        <w:rPr>
          <w:lang w:val="fr-FR" w:eastAsia="en-GB"/>
        </w:rPr>
        <w:tab/>
      </w:r>
      <w:r w:rsidR="006879D2" w:rsidRPr="006F0F1B">
        <w:rPr>
          <w:lang w:val="fr-FR" w:eastAsia="en-GB"/>
        </w:rPr>
        <w:t>Rôle de l’</w:t>
      </w:r>
      <w:r w:rsidR="003551BA" w:rsidRPr="00ED069E">
        <w:rPr>
          <w:lang w:val="fr-FR" w:eastAsia="en-GB"/>
        </w:rPr>
        <w:t>État</w:t>
      </w:r>
      <w:r w:rsidR="006879D2" w:rsidRPr="006F0F1B">
        <w:rPr>
          <w:lang w:val="fr-FR" w:eastAsia="en-GB"/>
        </w:rPr>
        <w:t xml:space="preserve"> </w:t>
      </w:r>
      <w:r w:rsidR="00962988">
        <w:rPr>
          <w:lang w:val="fr-FR" w:eastAsia="en-GB"/>
        </w:rPr>
        <w:t>dans le</w:t>
      </w:r>
      <w:r w:rsidR="00962988" w:rsidRPr="006F0F1B">
        <w:rPr>
          <w:lang w:val="fr-FR" w:eastAsia="en-GB"/>
        </w:rPr>
        <w:t xml:space="preserve"> </w:t>
      </w:r>
      <w:r w:rsidR="006879D2" w:rsidRPr="006F0F1B">
        <w:rPr>
          <w:lang w:val="fr-FR" w:eastAsia="en-GB"/>
        </w:rPr>
        <w:t xml:space="preserve">respect </w:t>
      </w:r>
      <w:r w:rsidR="00962988">
        <w:rPr>
          <w:lang w:val="fr-FR" w:eastAsia="en-GB"/>
        </w:rPr>
        <w:t>du</w:t>
      </w:r>
      <w:r w:rsidR="006879D2" w:rsidRPr="006F0F1B">
        <w:rPr>
          <w:lang w:val="fr-FR" w:eastAsia="en-GB"/>
        </w:rPr>
        <w:t xml:space="preserve"> droit à l’égalité des femmes et des filles dans la vie culturelle et familiale</w:t>
      </w:r>
      <w:bookmarkEnd w:id="23"/>
      <w:bookmarkEnd w:id="24"/>
    </w:p>
    <w:p w:rsidR="006879D2" w:rsidRPr="006F0F1B" w:rsidRDefault="006879D2" w:rsidP="00723CCE">
      <w:pPr>
        <w:pStyle w:val="SingleTxtG"/>
        <w:numPr>
          <w:ilvl w:val="0"/>
          <w:numId w:val="33"/>
        </w:numPr>
        <w:ind w:left="1134" w:firstLine="0"/>
        <w:rPr>
          <w:rFonts w:eastAsia="Calibri"/>
          <w:color w:val="000000"/>
          <w:lang w:val="fr-FR"/>
        </w:rPr>
      </w:pPr>
      <w:r w:rsidRPr="006F0F1B">
        <w:rPr>
          <w:rFonts w:eastAsia="Calibri"/>
          <w:lang w:val="fr-FR"/>
        </w:rPr>
        <w:t>L</w:t>
      </w:r>
      <w:r w:rsidR="00962988">
        <w:rPr>
          <w:rFonts w:eastAsia="Calibri"/>
          <w:lang w:val="fr-FR"/>
        </w:rPr>
        <w:t>’</w:t>
      </w:r>
      <w:r w:rsidR="003551BA" w:rsidRPr="00ED069E">
        <w:rPr>
          <w:rFonts w:eastAsia="Calibri"/>
          <w:lang w:val="fr-FR"/>
        </w:rPr>
        <w:t>État</w:t>
      </w:r>
      <w:r w:rsidRPr="006F0F1B">
        <w:rPr>
          <w:rFonts w:eastAsia="Calibri"/>
          <w:lang w:val="fr-FR"/>
        </w:rPr>
        <w:t xml:space="preserve"> </w:t>
      </w:r>
      <w:r w:rsidR="00962988">
        <w:rPr>
          <w:rFonts w:eastAsia="Calibri"/>
          <w:lang w:val="fr-FR"/>
        </w:rPr>
        <w:t xml:space="preserve">a </w:t>
      </w:r>
      <w:r w:rsidRPr="006F0F1B">
        <w:rPr>
          <w:rFonts w:eastAsia="Calibri"/>
          <w:lang w:val="fr-FR"/>
        </w:rPr>
        <w:t>pour obligation de respecter le droit des femmes à l’égalité au sein de la famille et d</w:t>
      </w:r>
      <w:r w:rsidR="00C8170F">
        <w:rPr>
          <w:rFonts w:eastAsia="Calibri"/>
          <w:lang w:val="fr-FR"/>
        </w:rPr>
        <w:t xml:space="preserve">evrait </w:t>
      </w:r>
      <w:r w:rsidRPr="006F0F1B">
        <w:rPr>
          <w:rFonts w:eastAsia="Calibri"/>
          <w:lang w:val="fr-FR"/>
        </w:rPr>
        <w:t>élimine</w:t>
      </w:r>
      <w:r w:rsidR="00C8170F">
        <w:rPr>
          <w:rFonts w:eastAsia="Calibri"/>
          <w:lang w:val="fr-FR"/>
        </w:rPr>
        <w:t>r</w:t>
      </w:r>
      <w:r w:rsidRPr="006F0F1B">
        <w:rPr>
          <w:rFonts w:eastAsia="Calibri"/>
          <w:lang w:val="fr-FR"/>
        </w:rPr>
        <w:t xml:space="preserve"> toute loi discriminatoire, y compris religieuse ou coutumière</w:t>
      </w:r>
      <w:r w:rsidRPr="006F0F1B">
        <w:rPr>
          <w:rStyle w:val="FootnoteReference"/>
          <w:rFonts w:eastAsia="Calibri"/>
          <w:lang w:val="fr-FR"/>
        </w:rPr>
        <w:footnoteReference w:id="45"/>
      </w:r>
      <w:r w:rsidRPr="006F0F1B">
        <w:rPr>
          <w:rFonts w:eastAsia="Calibri"/>
          <w:lang w:val="fr-FR"/>
        </w:rPr>
        <w:t xml:space="preserve">, </w:t>
      </w:r>
      <w:r w:rsidR="000529DC">
        <w:rPr>
          <w:rFonts w:eastAsia="Calibri"/>
          <w:lang w:val="fr-FR"/>
        </w:rPr>
        <w:t>à l’égard d</w:t>
      </w:r>
      <w:r w:rsidRPr="006F0F1B">
        <w:rPr>
          <w:rFonts w:eastAsia="Calibri"/>
          <w:lang w:val="fr-FR"/>
        </w:rPr>
        <w:t>es femmes ou tout acte discriminatoire effectué par les autorités de l’</w:t>
      </w:r>
      <w:r w:rsidR="003551BA" w:rsidRPr="00ED069E">
        <w:rPr>
          <w:rFonts w:eastAsia="Calibri"/>
          <w:lang w:val="fr-FR"/>
        </w:rPr>
        <w:t>État</w:t>
      </w:r>
      <w:r w:rsidRPr="006F0F1B">
        <w:rPr>
          <w:rFonts w:eastAsia="Calibri"/>
          <w:lang w:val="fr-FR"/>
        </w:rPr>
        <w:t>. L’obligation de ne pas discriminer les femmes est directe et absolue. L</w:t>
      </w:r>
      <w:r w:rsidR="00BC7BEE">
        <w:rPr>
          <w:rFonts w:eastAsia="Calibri"/>
          <w:lang w:val="fr-FR"/>
        </w:rPr>
        <w:t>’</w:t>
      </w:r>
      <w:r w:rsidR="003551BA" w:rsidRPr="00ED069E">
        <w:rPr>
          <w:rFonts w:eastAsia="Calibri"/>
          <w:lang w:val="fr-FR"/>
        </w:rPr>
        <w:t>État</w:t>
      </w:r>
      <w:r w:rsidRPr="006F0F1B">
        <w:rPr>
          <w:rFonts w:eastAsia="Calibri"/>
          <w:lang w:val="fr-FR"/>
        </w:rPr>
        <w:t xml:space="preserve"> sera en violation de cette obligation s’il existe une loi discriminatoire </w:t>
      </w:r>
      <w:r w:rsidR="000529DC">
        <w:rPr>
          <w:rFonts w:eastAsia="Calibri"/>
          <w:lang w:val="fr-FR"/>
        </w:rPr>
        <w:t>à l’égard d</w:t>
      </w:r>
      <w:r w:rsidRPr="006F0F1B">
        <w:rPr>
          <w:rFonts w:eastAsia="Calibri"/>
          <w:lang w:val="fr-FR"/>
        </w:rPr>
        <w:t xml:space="preserve">es femmes, aussi </w:t>
      </w:r>
      <w:r w:rsidRPr="006F0F1B">
        <w:rPr>
          <w:rFonts w:eastAsia="Calibri"/>
          <w:lang w:val="fr-FR"/>
        </w:rPr>
        <w:lastRenderedPageBreak/>
        <w:t xml:space="preserve">bien dans les </w:t>
      </w:r>
      <w:r w:rsidRPr="0016790D">
        <w:rPr>
          <w:rFonts w:eastAsia="Calibri"/>
          <w:lang w:val="fr-FR"/>
        </w:rPr>
        <w:t>systèmes de droit sécul</w:t>
      </w:r>
      <w:r w:rsidR="00723CCE">
        <w:rPr>
          <w:rFonts w:eastAsia="Calibri"/>
          <w:lang w:val="fr-FR"/>
        </w:rPr>
        <w:t>ier</w:t>
      </w:r>
      <w:r w:rsidRPr="0016790D">
        <w:rPr>
          <w:rFonts w:eastAsia="Calibri"/>
          <w:lang w:val="fr-FR"/>
        </w:rPr>
        <w:t xml:space="preserve">, </w:t>
      </w:r>
      <w:r w:rsidR="00962988">
        <w:rPr>
          <w:rFonts w:eastAsia="Calibri"/>
          <w:lang w:val="fr-FR"/>
        </w:rPr>
        <w:t xml:space="preserve">les systèmes </w:t>
      </w:r>
      <w:r w:rsidRPr="0016790D">
        <w:rPr>
          <w:rFonts w:eastAsia="Calibri"/>
          <w:lang w:val="fr-FR"/>
        </w:rPr>
        <w:t xml:space="preserve">de droit religieux ou </w:t>
      </w:r>
      <w:r w:rsidR="0016790D" w:rsidRPr="00273ABE">
        <w:rPr>
          <w:rFonts w:eastAsia="Calibri"/>
          <w:lang w:val="fr-FR"/>
        </w:rPr>
        <w:t xml:space="preserve">les systèmes </w:t>
      </w:r>
      <w:r w:rsidRPr="0016790D">
        <w:rPr>
          <w:rFonts w:eastAsia="Calibri"/>
          <w:lang w:val="fr-FR"/>
        </w:rPr>
        <w:t>pluraliste</w:t>
      </w:r>
      <w:r w:rsidR="0016790D" w:rsidRPr="00273ABE">
        <w:rPr>
          <w:rFonts w:eastAsia="Calibri"/>
          <w:lang w:val="fr-FR"/>
        </w:rPr>
        <w:t>s</w:t>
      </w:r>
      <w:r w:rsidRPr="0016790D">
        <w:rPr>
          <w:rFonts w:eastAsia="Calibri"/>
          <w:lang w:val="fr-FR"/>
        </w:rPr>
        <w:t xml:space="preserve"> de la famille.</w:t>
      </w:r>
      <w:r w:rsidRPr="006F0F1B">
        <w:rPr>
          <w:rFonts w:eastAsia="Calibri"/>
          <w:lang w:val="fr-FR"/>
        </w:rPr>
        <w:t xml:space="preserve"> </w:t>
      </w:r>
    </w:p>
    <w:p w:rsidR="006879D2" w:rsidRPr="006F0F1B" w:rsidRDefault="006879D2" w:rsidP="006F0F1B">
      <w:pPr>
        <w:pStyle w:val="SingleTxtG"/>
        <w:numPr>
          <w:ilvl w:val="0"/>
          <w:numId w:val="33"/>
        </w:numPr>
        <w:ind w:left="1134" w:firstLine="0"/>
        <w:rPr>
          <w:rFonts w:eastAsia="Calibri"/>
          <w:lang w:val="fr-FR"/>
        </w:rPr>
      </w:pPr>
      <w:r w:rsidRPr="006F0F1B">
        <w:rPr>
          <w:rFonts w:eastAsia="Calibri"/>
          <w:color w:val="000000"/>
          <w:lang w:val="fr-FR"/>
        </w:rPr>
        <w:t>L’</w:t>
      </w:r>
      <w:r w:rsidR="003551BA" w:rsidRPr="00ED069E">
        <w:rPr>
          <w:rFonts w:eastAsia="Calibri"/>
          <w:color w:val="000000"/>
          <w:lang w:val="fr-FR"/>
        </w:rPr>
        <w:t>État</w:t>
      </w:r>
      <w:r w:rsidRPr="006F0F1B">
        <w:rPr>
          <w:rFonts w:eastAsia="Calibri"/>
          <w:color w:val="000000"/>
          <w:lang w:val="fr-FR"/>
        </w:rPr>
        <w:t xml:space="preserve"> a pour obligation directe de protéger et </w:t>
      </w:r>
      <w:r w:rsidR="00962988">
        <w:rPr>
          <w:rFonts w:eastAsia="Calibri"/>
          <w:color w:val="000000"/>
          <w:lang w:val="fr-FR"/>
        </w:rPr>
        <w:t xml:space="preserve">de </w:t>
      </w:r>
      <w:r w:rsidRPr="006F0F1B">
        <w:rPr>
          <w:rFonts w:eastAsia="Calibri"/>
          <w:color w:val="000000"/>
          <w:lang w:val="fr-FR"/>
        </w:rPr>
        <w:t xml:space="preserve">respecter le droit à l’égalité des femmes dans tous les modes de réglementation de la famille précédemment examinés. Il est tenu responsable pour tout manquement à </w:t>
      </w:r>
      <w:r w:rsidRPr="00250230">
        <w:rPr>
          <w:rFonts w:eastAsia="Calibri"/>
          <w:color w:val="000000"/>
          <w:lang w:val="fr-FR"/>
        </w:rPr>
        <w:t>ses obligations,</w:t>
      </w:r>
      <w:r w:rsidRPr="006F0F1B">
        <w:rPr>
          <w:rFonts w:eastAsia="Calibri"/>
          <w:color w:val="000000"/>
          <w:lang w:val="fr-FR"/>
        </w:rPr>
        <w:t xml:space="preserve"> y compris </w:t>
      </w:r>
      <w:r w:rsidRPr="006F0F1B">
        <w:rPr>
          <w:rFonts w:eastAsia="Calibri"/>
          <w:lang w:val="fr-FR"/>
        </w:rPr>
        <w:t xml:space="preserve">s’il a, par sa constitution, sa législation ou ses décisions de justice, </w:t>
      </w:r>
      <w:r w:rsidRPr="0016790D">
        <w:rPr>
          <w:rFonts w:eastAsia="Calibri"/>
          <w:lang w:val="fr-FR"/>
        </w:rPr>
        <w:t>délégué autorité de juridiction</w:t>
      </w:r>
      <w:r w:rsidRPr="006F0F1B">
        <w:rPr>
          <w:rFonts w:eastAsia="Calibri"/>
          <w:lang w:val="fr-FR"/>
        </w:rPr>
        <w:t xml:space="preserve"> à une cour, </w:t>
      </w:r>
      <w:r w:rsidR="00250230">
        <w:rPr>
          <w:rFonts w:eastAsia="Calibri"/>
          <w:lang w:val="fr-FR"/>
        </w:rPr>
        <w:t xml:space="preserve">à </w:t>
      </w:r>
      <w:r w:rsidRPr="006F0F1B">
        <w:rPr>
          <w:rFonts w:eastAsia="Calibri"/>
          <w:lang w:val="fr-FR"/>
        </w:rPr>
        <w:t xml:space="preserve">un tribunal ou </w:t>
      </w:r>
      <w:r w:rsidR="00250230">
        <w:rPr>
          <w:rFonts w:eastAsia="Calibri"/>
          <w:lang w:val="fr-FR"/>
        </w:rPr>
        <w:t xml:space="preserve">à </w:t>
      </w:r>
      <w:r w:rsidRPr="006F0F1B">
        <w:rPr>
          <w:rFonts w:eastAsia="Calibri"/>
          <w:lang w:val="fr-FR"/>
        </w:rPr>
        <w:t xml:space="preserve">une personne </w:t>
      </w:r>
      <w:r w:rsidR="003551BA">
        <w:rPr>
          <w:rFonts w:eastAsia="Calibri"/>
          <w:lang w:val="fr-FR"/>
        </w:rPr>
        <w:t>–</w:t>
      </w:r>
      <w:r w:rsidRPr="006F0F1B">
        <w:rPr>
          <w:rFonts w:eastAsia="Calibri"/>
          <w:lang w:val="fr-FR"/>
        </w:rPr>
        <w:t xml:space="preserve"> religieux, autochtone ou coutumier – pour exercer sa compétence en matière de droit familial. </w:t>
      </w:r>
      <w:r w:rsidRPr="006F0F1B">
        <w:rPr>
          <w:rFonts w:eastAsia="Calibri"/>
          <w:color w:val="000000"/>
          <w:lang w:val="fr-FR"/>
        </w:rPr>
        <w:t>De plus, l’</w:t>
      </w:r>
      <w:r w:rsidR="003551BA" w:rsidRPr="00ED069E">
        <w:rPr>
          <w:rFonts w:eastAsia="Calibri"/>
          <w:color w:val="000000"/>
          <w:lang w:val="fr-FR"/>
        </w:rPr>
        <w:t>État</w:t>
      </w:r>
      <w:r w:rsidRPr="006F0F1B">
        <w:rPr>
          <w:rFonts w:eastAsia="Calibri"/>
          <w:color w:val="000000"/>
          <w:lang w:val="fr-FR"/>
        </w:rPr>
        <w:t xml:space="preserve"> a une obligation de diligence raisonnable d’assurer et de protéger le droit à l’égalité des femmes dans les systèmes juridiques pluralistes informels. </w:t>
      </w:r>
    </w:p>
    <w:p w:rsidR="006879D2" w:rsidRPr="006F0F1B" w:rsidRDefault="00250230" w:rsidP="00250230">
      <w:pPr>
        <w:pStyle w:val="SingleTxtG"/>
        <w:numPr>
          <w:ilvl w:val="0"/>
          <w:numId w:val="33"/>
        </w:numPr>
        <w:ind w:left="1134" w:firstLine="0"/>
        <w:rPr>
          <w:rFonts w:eastAsia="Calibri"/>
          <w:b/>
          <w:color w:val="000000"/>
          <w:lang w:val="fr-FR"/>
        </w:rPr>
      </w:pPr>
      <w:r>
        <w:rPr>
          <w:rFonts w:eastAsia="Calibri"/>
          <w:lang w:val="fr-FR"/>
        </w:rPr>
        <w:t>L</w:t>
      </w:r>
      <w:r w:rsidR="006879D2" w:rsidRPr="006F0F1B">
        <w:rPr>
          <w:rFonts w:eastAsia="Calibri"/>
          <w:color w:val="000000"/>
          <w:lang w:val="fr-FR"/>
        </w:rPr>
        <w:t>’</w:t>
      </w:r>
      <w:r w:rsidR="003551BA" w:rsidRPr="00ED069E">
        <w:rPr>
          <w:rFonts w:eastAsia="Calibri"/>
          <w:color w:val="000000"/>
          <w:lang w:val="fr-FR"/>
        </w:rPr>
        <w:t>État</w:t>
      </w:r>
      <w:r w:rsidR="006879D2" w:rsidRPr="006F0F1B">
        <w:rPr>
          <w:rFonts w:eastAsia="Calibri"/>
          <w:color w:val="000000"/>
          <w:lang w:val="fr-FR"/>
        </w:rPr>
        <w:t xml:space="preserve"> doit s’abstenir d’adopter des lois, des politiques, des mesures, ou des réglementations discriminant directement ou indirectement les femmes et les filles</w:t>
      </w:r>
      <w:r w:rsidR="0028253A">
        <w:rPr>
          <w:rFonts w:eastAsia="Calibri"/>
          <w:color w:val="000000"/>
          <w:lang w:val="fr-FR"/>
        </w:rPr>
        <w:t>,</w:t>
      </w:r>
      <w:r w:rsidR="006879D2" w:rsidRPr="006F0F1B">
        <w:rPr>
          <w:rFonts w:eastAsia="Calibri"/>
          <w:color w:val="000000"/>
          <w:lang w:val="fr-FR"/>
        </w:rPr>
        <w:t xml:space="preserve"> et doit </w:t>
      </w:r>
      <w:r w:rsidR="006879D2" w:rsidRPr="006F0F1B">
        <w:rPr>
          <w:rFonts w:eastAsia="Calibri"/>
          <w:lang w:val="fr-FR"/>
        </w:rPr>
        <w:t>s’assurer</w:t>
      </w:r>
      <w:r w:rsidR="006879D2" w:rsidRPr="006F0F1B">
        <w:rPr>
          <w:rFonts w:eastAsia="Calibri"/>
          <w:color w:val="000000"/>
          <w:lang w:val="fr-FR"/>
        </w:rPr>
        <w:t xml:space="preserve"> que ses agents</w:t>
      </w:r>
      <w:r w:rsidR="0028253A">
        <w:rPr>
          <w:rFonts w:eastAsia="Calibri"/>
          <w:color w:val="000000"/>
          <w:lang w:val="fr-FR"/>
        </w:rPr>
        <w:t xml:space="preserve"> et </w:t>
      </w:r>
      <w:r w:rsidR="006879D2" w:rsidRPr="006F0F1B">
        <w:rPr>
          <w:rFonts w:eastAsia="Calibri"/>
          <w:color w:val="000000"/>
          <w:lang w:val="fr-FR"/>
        </w:rPr>
        <w:t>les acteurs privés respectent cette obligation dans tous les contextes, y compris les situations les plus vulnérables (statut de réfugié ou de migrant, apatridie, etc.).</w:t>
      </w:r>
    </w:p>
    <w:p w:rsidR="006879D2" w:rsidRPr="006F0F1B" w:rsidRDefault="006879D2" w:rsidP="006A5AA5">
      <w:pPr>
        <w:pStyle w:val="SingleTxtG"/>
        <w:numPr>
          <w:ilvl w:val="0"/>
          <w:numId w:val="33"/>
        </w:numPr>
        <w:ind w:left="1134" w:firstLine="0"/>
        <w:rPr>
          <w:rFonts w:eastAsia="Calibri"/>
          <w:color w:val="000000"/>
          <w:lang w:val="fr-FR"/>
        </w:rPr>
      </w:pPr>
      <w:r w:rsidRPr="006F0F1B">
        <w:rPr>
          <w:rFonts w:eastAsia="Calibri"/>
          <w:lang w:val="fr-FR"/>
        </w:rPr>
        <w:t>L</w:t>
      </w:r>
      <w:r w:rsidR="00BC7BEE">
        <w:rPr>
          <w:rFonts w:eastAsia="Calibri"/>
          <w:lang w:val="fr-FR"/>
        </w:rPr>
        <w:t>’</w:t>
      </w:r>
      <w:r w:rsidRPr="006F0F1B">
        <w:rPr>
          <w:rFonts w:eastAsia="Calibri"/>
          <w:lang w:val="fr-FR"/>
        </w:rPr>
        <w:t>obligation de</w:t>
      </w:r>
      <w:r w:rsidR="00962988">
        <w:rPr>
          <w:rFonts w:eastAsia="Calibri"/>
          <w:lang w:val="fr-FR"/>
        </w:rPr>
        <w:t xml:space="preserve"> l’</w:t>
      </w:r>
      <w:r w:rsidR="003551BA" w:rsidRPr="00ED069E">
        <w:rPr>
          <w:rFonts w:eastAsia="Calibri"/>
          <w:lang w:val="fr-FR"/>
        </w:rPr>
        <w:t>État</w:t>
      </w:r>
      <w:r w:rsidRPr="006F0F1B">
        <w:rPr>
          <w:rFonts w:eastAsia="Calibri"/>
          <w:lang w:val="fr-FR"/>
        </w:rPr>
        <w:t xml:space="preserve"> de protéger le droit à l’égalité des femmes et des filles dans la famille les force à empêcher les discriminations faites par des acteurs privés. </w:t>
      </w:r>
      <w:r w:rsidRPr="006F0F1B">
        <w:rPr>
          <w:rFonts w:eastAsia="Calibri"/>
          <w:color w:val="000000"/>
          <w:lang w:val="fr-FR"/>
        </w:rPr>
        <w:t xml:space="preserve">La diligence raisonnable entendue comme principe d’action de </w:t>
      </w:r>
      <w:r w:rsidR="00962988">
        <w:rPr>
          <w:rFonts w:eastAsia="Calibri"/>
          <w:color w:val="000000"/>
          <w:lang w:val="fr-FR"/>
        </w:rPr>
        <w:t>l’</w:t>
      </w:r>
      <w:r w:rsidR="003551BA" w:rsidRPr="00ED069E">
        <w:rPr>
          <w:rFonts w:eastAsia="Calibri"/>
          <w:color w:val="000000"/>
          <w:lang w:val="fr-FR"/>
        </w:rPr>
        <w:t>État</w:t>
      </w:r>
      <w:r w:rsidRPr="006F0F1B">
        <w:rPr>
          <w:rFonts w:eastAsia="Calibri"/>
          <w:color w:val="000000"/>
          <w:lang w:val="fr-FR"/>
        </w:rPr>
        <w:t xml:space="preserve"> doit déboucher sur un modèle global de prévention, de protection, de poursuites judiciaires, de sanction et de réparation pour les actes discriminatoires et de violence contre les femmes dans la vie culturelle et familiale. </w:t>
      </w:r>
    </w:p>
    <w:p w:rsidR="006879D2" w:rsidRPr="006F0F1B" w:rsidRDefault="00CD5862" w:rsidP="00C1454D">
      <w:pPr>
        <w:pStyle w:val="SingleTxtG"/>
        <w:numPr>
          <w:ilvl w:val="0"/>
          <w:numId w:val="33"/>
        </w:numPr>
        <w:ind w:left="1134" w:firstLine="0"/>
        <w:rPr>
          <w:rFonts w:eastAsia="Calibri"/>
          <w:lang w:val="fr-FR"/>
        </w:rPr>
      </w:pPr>
      <w:r w:rsidRPr="006F0F1B">
        <w:rPr>
          <w:rFonts w:eastAsia="Calibri"/>
          <w:lang w:val="fr-FR"/>
        </w:rPr>
        <w:t>Pour</w:t>
      </w:r>
      <w:r w:rsidR="006879D2" w:rsidRPr="006F0F1B">
        <w:rPr>
          <w:rFonts w:eastAsia="Calibri"/>
          <w:lang w:val="fr-FR"/>
        </w:rPr>
        <w:t xml:space="preserve"> prévenir toute violation contre les femmes dans la vie </w:t>
      </w:r>
      <w:r w:rsidR="00C1454D">
        <w:rPr>
          <w:rFonts w:eastAsia="Calibri"/>
          <w:lang w:val="fr-FR"/>
        </w:rPr>
        <w:t xml:space="preserve">culturelle et </w:t>
      </w:r>
      <w:r w:rsidR="006879D2" w:rsidRPr="006F0F1B">
        <w:rPr>
          <w:rFonts w:eastAsia="Calibri"/>
          <w:lang w:val="fr-FR"/>
        </w:rPr>
        <w:t>familiale, l’</w:t>
      </w:r>
      <w:r w:rsidR="003551BA" w:rsidRPr="00ED069E">
        <w:rPr>
          <w:rFonts w:eastAsia="Calibri"/>
          <w:lang w:val="fr-FR"/>
        </w:rPr>
        <w:t>État</w:t>
      </w:r>
      <w:r w:rsidR="006879D2" w:rsidRPr="006F0F1B">
        <w:rPr>
          <w:rFonts w:eastAsia="Calibri"/>
          <w:lang w:val="fr-FR"/>
        </w:rPr>
        <w:t xml:space="preserve"> doit contester le discours culturel </w:t>
      </w:r>
      <w:r w:rsidR="0028253A">
        <w:rPr>
          <w:rFonts w:eastAsia="Calibri"/>
          <w:lang w:val="fr-FR"/>
        </w:rPr>
        <w:t>et</w:t>
      </w:r>
      <w:r w:rsidR="006879D2" w:rsidRPr="006F0F1B">
        <w:rPr>
          <w:rFonts w:eastAsia="Calibri"/>
          <w:lang w:val="fr-FR"/>
        </w:rPr>
        <w:t xml:space="preserve"> les normes culturelles discriminant les femmes et perpétuant la discrimination structurelle, les tabous ou les stéréotypes fondés sur le genre. Les attitudes et </w:t>
      </w:r>
      <w:r w:rsidR="006879D2" w:rsidRPr="0026445F">
        <w:rPr>
          <w:rFonts w:eastAsia="Calibri"/>
          <w:lang w:val="fr-FR"/>
        </w:rPr>
        <w:t>comportement</w:t>
      </w:r>
      <w:r w:rsidR="0026445F" w:rsidRPr="0026445F">
        <w:rPr>
          <w:rFonts w:eastAsia="Calibri"/>
          <w:lang w:val="fr-FR"/>
        </w:rPr>
        <w:t>s</w:t>
      </w:r>
      <w:r w:rsidR="006879D2" w:rsidRPr="006F0F1B">
        <w:rPr>
          <w:rFonts w:eastAsia="Calibri"/>
          <w:lang w:val="fr-FR"/>
        </w:rPr>
        <w:t xml:space="preserve"> </w:t>
      </w:r>
      <w:r w:rsidR="000529DC">
        <w:rPr>
          <w:rFonts w:eastAsia="Calibri"/>
          <w:lang w:val="fr-FR"/>
        </w:rPr>
        <w:t>à l’égard d</w:t>
      </w:r>
      <w:r w:rsidR="006879D2" w:rsidRPr="006F0F1B">
        <w:rPr>
          <w:rFonts w:eastAsia="Calibri"/>
          <w:lang w:val="fr-FR"/>
        </w:rPr>
        <w:t xml:space="preserve">es femmes doivent être transformés, </w:t>
      </w:r>
      <w:r w:rsidR="0026445F">
        <w:rPr>
          <w:rFonts w:eastAsia="Calibri"/>
          <w:lang w:val="fr-FR"/>
        </w:rPr>
        <w:t xml:space="preserve">et </w:t>
      </w:r>
      <w:r w:rsidR="006879D2" w:rsidRPr="0026445F">
        <w:rPr>
          <w:rFonts w:eastAsia="Calibri"/>
          <w:lang w:val="fr-FR"/>
        </w:rPr>
        <w:t xml:space="preserve">l’accès à l’emploi, à l’éducation, au </w:t>
      </w:r>
      <w:r w:rsidR="006879D2" w:rsidRPr="005903BC">
        <w:rPr>
          <w:rFonts w:eastAsia="Calibri"/>
          <w:lang w:val="fr-FR"/>
        </w:rPr>
        <w:t xml:space="preserve">financement, </w:t>
      </w:r>
      <w:r w:rsidR="005903BC" w:rsidRPr="005903BC">
        <w:rPr>
          <w:rFonts w:eastAsia="Calibri"/>
          <w:lang w:val="fr-FR"/>
        </w:rPr>
        <w:t xml:space="preserve">ainsi que </w:t>
      </w:r>
      <w:r w:rsidR="006879D2" w:rsidRPr="005903BC">
        <w:rPr>
          <w:rFonts w:eastAsia="Calibri"/>
          <w:lang w:val="fr-FR"/>
        </w:rPr>
        <w:t xml:space="preserve">la sécurité du </w:t>
      </w:r>
      <w:r w:rsidR="005903BC" w:rsidRPr="005903BC">
        <w:rPr>
          <w:rFonts w:eastAsia="Calibri"/>
          <w:lang w:val="fr-FR"/>
        </w:rPr>
        <w:t xml:space="preserve">foyer </w:t>
      </w:r>
      <w:r w:rsidR="006879D2" w:rsidRPr="005903BC">
        <w:rPr>
          <w:rFonts w:eastAsia="Calibri"/>
          <w:lang w:val="fr-FR"/>
        </w:rPr>
        <w:t xml:space="preserve">et </w:t>
      </w:r>
      <w:r w:rsidR="005903BC" w:rsidRPr="005903BC">
        <w:rPr>
          <w:rFonts w:eastAsia="Calibri"/>
          <w:lang w:val="fr-FR"/>
        </w:rPr>
        <w:t xml:space="preserve">celle </w:t>
      </w:r>
      <w:r w:rsidR="006879D2" w:rsidRPr="005903BC">
        <w:rPr>
          <w:rFonts w:eastAsia="Calibri"/>
          <w:lang w:val="fr-FR"/>
        </w:rPr>
        <w:t>de</w:t>
      </w:r>
      <w:r w:rsidR="005903BC" w:rsidRPr="005903BC">
        <w:rPr>
          <w:rFonts w:eastAsia="Calibri"/>
          <w:lang w:val="fr-FR"/>
        </w:rPr>
        <w:t xml:space="preserve"> leurs </w:t>
      </w:r>
      <w:r w:rsidR="006879D2" w:rsidRPr="005903BC">
        <w:rPr>
          <w:rFonts w:eastAsia="Calibri"/>
          <w:lang w:val="fr-FR"/>
        </w:rPr>
        <w:t>enfants doivent être assurés par l’</w:t>
      </w:r>
      <w:r w:rsidR="003551BA" w:rsidRPr="00ED069E">
        <w:rPr>
          <w:rFonts w:eastAsia="Calibri"/>
          <w:lang w:val="fr-FR"/>
        </w:rPr>
        <w:t>État</w:t>
      </w:r>
      <w:r w:rsidR="006879D2" w:rsidRPr="006F0F1B">
        <w:rPr>
          <w:rFonts w:eastAsia="Calibri"/>
          <w:lang w:val="fr-FR"/>
        </w:rPr>
        <w:t xml:space="preserve"> </w:t>
      </w:r>
      <w:r w:rsidRPr="006F0F1B">
        <w:rPr>
          <w:rFonts w:eastAsia="Calibri"/>
          <w:lang w:val="fr-FR"/>
        </w:rPr>
        <w:t>pour</w:t>
      </w:r>
      <w:r w:rsidR="006879D2" w:rsidRPr="006F0F1B">
        <w:rPr>
          <w:rFonts w:eastAsia="Calibri"/>
          <w:lang w:val="fr-FR"/>
        </w:rPr>
        <w:t xml:space="preserve"> réduire les inégalités entre les sexes. </w:t>
      </w:r>
    </w:p>
    <w:p w:rsidR="006879D2" w:rsidRPr="006F0F1B" w:rsidRDefault="006879D2" w:rsidP="0026445F">
      <w:pPr>
        <w:pStyle w:val="SingleTxtG"/>
        <w:numPr>
          <w:ilvl w:val="0"/>
          <w:numId w:val="33"/>
        </w:numPr>
        <w:ind w:left="1134" w:firstLine="0"/>
        <w:rPr>
          <w:rFonts w:eastAsia="Calibri"/>
          <w:lang w:val="fr-FR"/>
        </w:rPr>
      </w:pPr>
      <w:r w:rsidRPr="006F0F1B">
        <w:rPr>
          <w:rFonts w:eastAsia="Calibri"/>
          <w:lang w:val="fr-FR"/>
        </w:rPr>
        <w:t>En termes de protection, l’</w:t>
      </w:r>
      <w:r w:rsidR="003551BA" w:rsidRPr="00ED069E">
        <w:rPr>
          <w:rFonts w:eastAsia="Calibri"/>
          <w:lang w:val="fr-FR"/>
        </w:rPr>
        <w:t>État</w:t>
      </w:r>
      <w:r w:rsidRPr="006F0F1B">
        <w:rPr>
          <w:rFonts w:eastAsia="Calibri"/>
          <w:lang w:val="fr-FR"/>
        </w:rPr>
        <w:t xml:space="preserve"> </w:t>
      </w:r>
      <w:r w:rsidR="00CD5862" w:rsidRPr="006F0F1B">
        <w:rPr>
          <w:rFonts w:eastAsia="Calibri"/>
          <w:lang w:val="fr-FR"/>
        </w:rPr>
        <w:t xml:space="preserve">doit </w:t>
      </w:r>
      <w:r w:rsidRPr="006F0F1B">
        <w:rPr>
          <w:rFonts w:eastAsia="Calibri"/>
          <w:lang w:val="fr-FR"/>
        </w:rPr>
        <w:t>mett</w:t>
      </w:r>
      <w:r w:rsidR="00CD5862" w:rsidRPr="006F0F1B">
        <w:rPr>
          <w:rFonts w:eastAsia="Calibri"/>
          <w:lang w:val="fr-FR"/>
        </w:rPr>
        <w:t>r</w:t>
      </w:r>
      <w:r w:rsidRPr="006F0F1B">
        <w:rPr>
          <w:rFonts w:eastAsia="Calibri"/>
          <w:lang w:val="fr-FR"/>
        </w:rPr>
        <w:t xml:space="preserve">e en place des services et </w:t>
      </w:r>
      <w:r w:rsidR="00962988">
        <w:rPr>
          <w:rFonts w:eastAsia="Calibri"/>
          <w:lang w:val="fr-FR"/>
        </w:rPr>
        <w:t xml:space="preserve">des </w:t>
      </w:r>
      <w:r w:rsidRPr="006F0F1B">
        <w:rPr>
          <w:rFonts w:eastAsia="Calibri"/>
          <w:lang w:val="fr-FR"/>
        </w:rPr>
        <w:t xml:space="preserve">prestations efficaces, </w:t>
      </w:r>
      <w:r w:rsidR="00CD5862" w:rsidRPr="006F0F1B">
        <w:rPr>
          <w:rFonts w:eastAsia="Calibri"/>
          <w:lang w:val="fr-FR"/>
        </w:rPr>
        <w:t>pour</w:t>
      </w:r>
      <w:r w:rsidRPr="006F0F1B">
        <w:rPr>
          <w:rFonts w:eastAsia="Calibri"/>
          <w:lang w:val="fr-FR"/>
        </w:rPr>
        <w:t xml:space="preserve"> </w:t>
      </w:r>
      <w:r w:rsidRPr="00DA64F5">
        <w:rPr>
          <w:rFonts w:eastAsia="Calibri"/>
          <w:lang w:val="fr-FR"/>
        </w:rPr>
        <w:t>répondre à court, moyen et long terme</w:t>
      </w:r>
      <w:r w:rsidRPr="006F0F1B">
        <w:rPr>
          <w:rFonts w:eastAsia="Calibri"/>
          <w:lang w:val="fr-FR"/>
        </w:rPr>
        <w:t xml:space="preserve"> aux besoins des femmes. L’identification en amont des risques et des facteurs pouvant </w:t>
      </w:r>
      <w:r w:rsidR="0026445F" w:rsidRPr="0026445F">
        <w:rPr>
          <w:rFonts w:eastAsia="Calibri"/>
          <w:lang w:val="fr-FR"/>
        </w:rPr>
        <w:t xml:space="preserve">entraîner </w:t>
      </w:r>
      <w:r w:rsidRPr="0026445F">
        <w:rPr>
          <w:rFonts w:eastAsia="Calibri"/>
          <w:lang w:val="fr-FR"/>
        </w:rPr>
        <w:t>de</w:t>
      </w:r>
      <w:r w:rsidRPr="006F0F1B">
        <w:rPr>
          <w:rFonts w:eastAsia="Calibri"/>
          <w:lang w:val="fr-FR"/>
        </w:rPr>
        <w:t xml:space="preserve"> la discrimination contre les femmes est nécessaire pour permettre une intervention efficace avant que les violations ne soient perpétrées. </w:t>
      </w:r>
    </w:p>
    <w:p w:rsidR="006879D2" w:rsidRPr="00ED069E" w:rsidRDefault="006879D2" w:rsidP="000529DC">
      <w:pPr>
        <w:pStyle w:val="SingleTxtG"/>
        <w:numPr>
          <w:ilvl w:val="0"/>
          <w:numId w:val="33"/>
        </w:numPr>
        <w:ind w:left="1134" w:firstLine="0"/>
        <w:rPr>
          <w:rFonts w:eastAsia="Calibri"/>
          <w:lang w:val="fr-FR"/>
        </w:rPr>
      </w:pPr>
      <w:r w:rsidRPr="006F0F1B">
        <w:rPr>
          <w:rFonts w:eastAsia="Calibri"/>
          <w:lang w:val="fr-FR"/>
        </w:rPr>
        <w:t xml:space="preserve">En cas de violations et de discriminations </w:t>
      </w:r>
      <w:r w:rsidR="000529DC">
        <w:rPr>
          <w:rFonts w:eastAsia="Calibri"/>
          <w:lang w:val="fr-FR"/>
        </w:rPr>
        <w:t>à l’égard d</w:t>
      </w:r>
      <w:r w:rsidRPr="006F0F1B">
        <w:rPr>
          <w:rFonts w:eastAsia="Calibri"/>
          <w:lang w:val="fr-FR"/>
        </w:rPr>
        <w:t>es femmes, l’</w:t>
      </w:r>
      <w:r w:rsidR="003551BA" w:rsidRPr="00ED069E">
        <w:rPr>
          <w:rFonts w:eastAsia="Calibri"/>
          <w:lang w:val="fr-FR"/>
        </w:rPr>
        <w:t>État</w:t>
      </w:r>
      <w:r w:rsidRPr="006F0F1B">
        <w:rPr>
          <w:rFonts w:eastAsia="Calibri"/>
          <w:lang w:val="fr-FR"/>
        </w:rPr>
        <w:t xml:space="preserve"> a pour obligation d’enquêter et de lancer les poursuites judiciaires. L’</w:t>
      </w:r>
      <w:r w:rsidR="003551BA" w:rsidRPr="00ED069E">
        <w:rPr>
          <w:rFonts w:eastAsia="Calibri"/>
          <w:lang w:val="fr-FR"/>
        </w:rPr>
        <w:t>État</w:t>
      </w:r>
      <w:r w:rsidRPr="006F0F1B">
        <w:rPr>
          <w:rFonts w:eastAsia="Calibri"/>
          <w:lang w:val="fr-FR"/>
        </w:rPr>
        <w:t xml:space="preserve"> doit faire en sorte de garantir la vie privée, la confidentialité et la sécurité des victimes</w:t>
      </w:r>
      <w:r w:rsidR="00A224AF">
        <w:rPr>
          <w:rFonts w:eastAsia="Calibri"/>
          <w:lang w:val="fr-FR"/>
        </w:rPr>
        <w:t>,</w:t>
      </w:r>
      <w:r w:rsidRPr="006F0F1B">
        <w:rPr>
          <w:rFonts w:eastAsia="Calibri"/>
          <w:lang w:val="fr-FR"/>
        </w:rPr>
        <w:t xml:space="preserve"> mais aussi les besoins et les craintes des femmes, tout en s’assurant qu’elles ne subissent pas de stigmatisation, d’ostracisme social ou de représailles. </w:t>
      </w:r>
      <w:r w:rsidRPr="00ED069E">
        <w:rPr>
          <w:rFonts w:eastAsia="Calibri"/>
          <w:lang w:val="fr-FR"/>
        </w:rPr>
        <w:t>L</w:t>
      </w:r>
      <w:r w:rsidR="00BC7BEE">
        <w:rPr>
          <w:rFonts w:eastAsia="Calibri"/>
          <w:lang w:val="fr-FR"/>
        </w:rPr>
        <w:t>’</w:t>
      </w:r>
      <w:r w:rsidR="003551BA" w:rsidRPr="006F0F1B">
        <w:rPr>
          <w:rFonts w:eastAsia="Calibri"/>
          <w:lang w:val="fr-FR"/>
        </w:rPr>
        <w:t>État</w:t>
      </w:r>
      <w:r w:rsidRPr="006F0F1B">
        <w:rPr>
          <w:rFonts w:eastAsia="Calibri"/>
          <w:lang w:val="fr-FR"/>
        </w:rPr>
        <w:t xml:space="preserve"> doit être capable de favoriser la confiance dans la police et la justice</w:t>
      </w:r>
      <w:r w:rsidR="00A224AF">
        <w:rPr>
          <w:rFonts w:eastAsia="Calibri"/>
          <w:lang w:val="fr-FR"/>
        </w:rPr>
        <w:t>,</w:t>
      </w:r>
      <w:r w:rsidRPr="006F0F1B">
        <w:rPr>
          <w:rFonts w:eastAsia="Calibri"/>
          <w:lang w:val="fr-FR"/>
        </w:rPr>
        <w:t xml:space="preserve"> y compris dans</w:t>
      </w:r>
      <w:r w:rsidRPr="00ED069E">
        <w:rPr>
          <w:rFonts w:eastAsia="Calibri"/>
          <w:lang w:val="fr-FR"/>
        </w:rPr>
        <w:t xml:space="preserve"> les systèmes juridiques pluralistes. </w:t>
      </w:r>
      <w:r w:rsidRPr="006F0F1B">
        <w:rPr>
          <w:rFonts w:eastAsia="Calibri"/>
          <w:lang w:val="fr-FR"/>
        </w:rPr>
        <w:t>Pour cela, il doit s’assurer que les organismes étatiques et les tribunaux appliquent systématiquement le principe d’égalité, dans l’interprétation de la loi et dans sa pratique, et</w:t>
      </w:r>
      <w:r w:rsidR="00903159">
        <w:rPr>
          <w:rFonts w:eastAsia="Calibri"/>
          <w:lang w:val="fr-FR"/>
        </w:rPr>
        <w:t> </w:t>
      </w:r>
      <w:r w:rsidRPr="006F0F1B">
        <w:rPr>
          <w:rFonts w:eastAsia="Calibri"/>
          <w:lang w:val="fr-FR"/>
        </w:rPr>
        <w:t xml:space="preserve">ce, conformément aux normes internationales. Le Comité </w:t>
      </w:r>
      <w:r w:rsidR="00F45127">
        <w:rPr>
          <w:rFonts w:eastAsia="Calibri"/>
          <w:lang w:val="fr-FR"/>
        </w:rPr>
        <w:t>pour l’élimination de la discrimination à l’égard des femmes</w:t>
      </w:r>
      <w:r w:rsidRPr="006F0F1B">
        <w:rPr>
          <w:rFonts w:eastAsia="Calibri"/>
          <w:lang w:val="fr-FR"/>
        </w:rPr>
        <w:t xml:space="preserve"> rappelle que</w:t>
      </w:r>
      <w:r w:rsidR="00903159">
        <w:rPr>
          <w:rFonts w:eastAsia="Calibri"/>
          <w:lang w:val="fr-FR"/>
        </w:rPr>
        <w:t>,</w:t>
      </w:r>
      <w:r w:rsidRPr="006F0F1B">
        <w:rPr>
          <w:rFonts w:eastAsia="Calibri"/>
          <w:lang w:val="fr-FR"/>
        </w:rPr>
        <w:t xml:space="preserve"> s’il n</w:t>
      </w:r>
      <w:r w:rsidRPr="00AB5618">
        <w:rPr>
          <w:rFonts w:eastAsia="Calibri"/>
          <w:lang w:val="fr-FR"/>
        </w:rPr>
        <w:t>’est pas possible de procéder ainsi, l’</w:t>
      </w:r>
      <w:r w:rsidR="003551BA" w:rsidRPr="00AB5618">
        <w:rPr>
          <w:rFonts w:eastAsia="Calibri"/>
          <w:lang w:val="fr-FR"/>
        </w:rPr>
        <w:t>État</w:t>
      </w:r>
      <w:r w:rsidRPr="00AB5618">
        <w:rPr>
          <w:rFonts w:eastAsia="Calibri"/>
          <w:lang w:val="fr-FR"/>
        </w:rPr>
        <w:t xml:space="preserve"> demeure responsable et doit agir en conséqu</w:t>
      </w:r>
      <w:r w:rsidRPr="00273ABE">
        <w:rPr>
          <w:rFonts w:eastAsia="Calibri"/>
          <w:lang w:val="fr-FR"/>
        </w:rPr>
        <w:t>ence</w:t>
      </w:r>
      <w:r w:rsidRPr="006F0F1B">
        <w:rPr>
          <w:rStyle w:val="FootnoteReference"/>
          <w:rFonts w:eastAsia="Calibri"/>
          <w:lang w:val="fr-FR"/>
        </w:rPr>
        <w:footnoteReference w:id="46"/>
      </w:r>
      <w:r w:rsidRPr="006F0F1B">
        <w:rPr>
          <w:rFonts w:eastAsia="Calibri"/>
          <w:lang w:val="fr-FR"/>
        </w:rPr>
        <w:t>.</w:t>
      </w:r>
    </w:p>
    <w:p w:rsidR="006879D2" w:rsidRPr="006F0F1B" w:rsidRDefault="006879D2" w:rsidP="00A7634E">
      <w:pPr>
        <w:pStyle w:val="SingleTxtG"/>
        <w:numPr>
          <w:ilvl w:val="0"/>
          <w:numId w:val="33"/>
        </w:numPr>
        <w:ind w:left="1134" w:firstLine="0"/>
        <w:rPr>
          <w:rFonts w:eastAsia="Calibri"/>
          <w:lang w:val="fr-FR"/>
        </w:rPr>
      </w:pPr>
      <w:r w:rsidRPr="006F0F1B">
        <w:rPr>
          <w:rFonts w:eastAsia="Calibri"/>
          <w:lang w:val="fr-FR"/>
        </w:rPr>
        <w:t>L’</w:t>
      </w:r>
      <w:r w:rsidR="003551BA" w:rsidRPr="006F0F1B">
        <w:rPr>
          <w:rFonts w:eastAsia="Calibri"/>
          <w:lang w:val="fr-FR"/>
        </w:rPr>
        <w:t>État</w:t>
      </w:r>
      <w:r w:rsidRPr="006F0F1B">
        <w:rPr>
          <w:rFonts w:eastAsia="Calibri"/>
          <w:lang w:val="fr-FR"/>
        </w:rPr>
        <w:t xml:space="preserve"> a pour obligation de punir et d’éradiquer toute impunité </w:t>
      </w:r>
      <w:r w:rsidR="00027EA8">
        <w:rPr>
          <w:rFonts w:eastAsia="Calibri"/>
          <w:lang w:val="fr-FR"/>
        </w:rPr>
        <w:t xml:space="preserve">et </w:t>
      </w:r>
      <w:r w:rsidRPr="006F0F1B">
        <w:rPr>
          <w:rFonts w:eastAsia="Calibri"/>
          <w:lang w:val="fr-FR"/>
        </w:rPr>
        <w:t>les excuses ou les justifications perpétuant la discrimination de genre dans la vie culturelle et familiale</w:t>
      </w:r>
      <w:r w:rsidRPr="00ED069E">
        <w:rPr>
          <w:rFonts w:eastAsia="Calibri"/>
          <w:lang w:val="fr-FR"/>
        </w:rPr>
        <w:t xml:space="preserve">. </w:t>
      </w:r>
      <w:r w:rsidR="00027EA8">
        <w:rPr>
          <w:rFonts w:eastAsia="Calibri"/>
          <w:lang w:val="fr-FR"/>
        </w:rPr>
        <w:t>L</w:t>
      </w:r>
      <w:r w:rsidRPr="00ED069E">
        <w:rPr>
          <w:rFonts w:eastAsia="Calibri"/>
          <w:lang w:val="fr-FR"/>
        </w:rPr>
        <w:t>’</w:t>
      </w:r>
      <w:r w:rsidR="003551BA" w:rsidRPr="006F0F1B">
        <w:rPr>
          <w:rFonts w:eastAsia="Calibri"/>
          <w:lang w:val="fr-FR"/>
        </w:rPr>
        <w:t>État</w:t>
      </w:r>
      <w:r w:rsidRPr="006F0F1B">
        <w:rPr>
          <w:rFonts w:eastAsia="Calibri"/>
          <w:lang w:val="fr-FR"/>
        </w:rPr>
        <w:t xml:space="preserve"> </w:t>
      </w:r>
      <w:r w:rsidRPr="006F0F1B">
        <w:rPr>
          <w:rFonts w:eastAsia="Calibri"/>
          <w:lang w:val="fr-FR"/>
        </w:rPr>
        <w:lastRenderedPageBreak/>
        <w:t xml:space="preserve">a </w:t>
      </w:r>
      <w:r w:rsidR="00027EA8">
        <w:rPr>
          <w:rFonts w:eastAsia="Calibri"/>
          <w:lang w:val="fr-FR"/>
        </w:rPr>
        <w:t xml:space="preserve">aussi </w:t>
      </w:r>
      <w:r w:rsidRPr="006F0F1B">
        <w:rPr>
          <w:rFonts w:eastAsia="Calibri"/>
          <w:lang w:val="fr-FR"/>
        </w:rPr>
        <w:t xml:space="preserve">pour obligation </w:t>
      </w:r>
      <w:r w:rsidRPr="00027EA8">
        <w:rPr>
          <w:rFonts w:eastAsia="Calibri"/>
          <w:lang w:val="fr-FR"/>
        </w:rPr>
        <w:t>d’apporter réparation aux préjudices</w:t>
      </w:r>
      <w:r w:rsidRPr="006F0F1B">
        <w:rPr>
          <w:rFonts w:eastAsia="Calibri"/>
          <w:lang w:val="fr-FR"/>
        </w:rPr>
        <w:t xml:space="preserve"> subis par les femmes, notamment par la mise en place de compensations, de restitutions mais aussi de garanties de non-répétition ou encore de mesures de prévention. </w:t>
      </w:r>
    </w:p>
    <w:p w:rsidR="006879D2" w:rsidRPr="006F0F1B" w:rsidRDefault="006879D2" w:rsidP="006A5AA5">
      <w:pPr>
        <w:pStyle w:val="SingleTxtG"/>
        <w:numPr>
          <w:ilvl w:val="0"/>
          <w:numId w:val="33"/>
        </w:numPr>
        <w:ind w:left="1134" w:firstLine="0"/>
        <w:rPr>
          <w:rFonts w:eastAsia="Calibri"/>
          <w:lang w:val="fr-FR"/>
        </w:rPr>
      </w:pPr>
      <w:r w:rsidRPr="006F0F1B">
        <w:rPr>
          <w:rFonts w:eastAsia="Calibri"/>
          <w:lang w:val="fr-FR"/>
        </w:rPr>
        <w:t>Assurer l</w:t>
      </w:r>
      <w:r w:rsidR="00BC7BEE">
        <w:rPr>
          <w:rFonts w:eastAsia="Calibri"/>
          <w:lang w:val="fr-FR"/>
        </w:rPr>
        <w:t>’</w:t>
      </w:r>
      <w:r w:rsidRPr="006F0F1B">
        <w:rPr>
          <w:rFonts w:eastAsia="Calibri"/>
          <w:lang w:val="fr-FR"/>
        </w:rPr>
        <w:t xml:space="preserve">accès à la justice pour les femmes </w:t>
      </w:r>
      <w:r w:rsidR="00AD2CCE" w:rsidRPr="006F0F1B">
        <w:rPr>
          <w:rFonts w:eastAsia="Calibri"/>
          <w:lang w:val="fr-FR"/>
        </w:rPr>
        <w:t>et</w:t>
      </w:r>
      <w:r w:rsidRPr="006F0F1B">
        <w:rPr>
          <w:rFonts w:eastAsia="Calibri"/>
          <w:lang w:val="fr-FR"/>
        </w:rPr>
        <w:t xml:space="preserve"> les filles qui ont subi des discriminations au sein de la famille ou dans la vie culturelle est une obligation de </w:t>
      </w:r>
      <w:r w:rsidR="00962988">
        <w:rPr>
          <w:rFonts w:eastAsia="Calibri"/>
          <w:lang w:val="fr-FR"/>
        </w:rPr>
        <w:t>l’</w:t>
      </w:r>
      <w:r w:rsidR="00BC7BEE" w:rsidRPr="00ED069E">
        <w:rPr>
          <w:rFonts w:eastAsia="Calibri"/>
          <w:lang w:val="fr-FR"/>
        </w:rPr>
        <w:t>État</w:t>
      </w:r>
      <w:r w:rsidRPr="006F0F1B">
        <w:rPr>
          <w:rFonts w:eastAsia="Calibri"/>
          <w:lang w:val="fr-FR"/>
        </w:rPr>
        <w:t xml:space="preserve"> pour protéger et respecter leur droit à l</w:t>
      </w:r>
      <w:r w:rsidR="00BC7BEE">
        <w:rPr>
          <w:rFonts w:eastAsia="Calibri"/>
          <w:lang w:val="fr-FR"/>
        </w:rPr>
        <w:t>’</w:t>
      </w:r>
      <w:r w:rsidRPr="006F0F1B">
        <w:rPr>
          <w:rFonts w:eastAsia="Calibri"/>
          <w:lang w:val="fr-FR"/>
        </w:rPr>
        <w:t>égalité. Cet accès doit être garanti au</w:t>
      </w:r>
      <w:r w:rsidR="00962988">
        <w:rPr>
          <w:rFonts w:eastAsia="Calibri"/>
          <w:lang w:val="fr-FR"/>
        </w:rPr>
        <w:t>x</w:t>
      </w:r>
      <w:r w:rsidRPr="006F0F1B">
        <w:rPr>
          <w:rFonts w:eastAsia="Calibri"/>
          <w:lang w:val="fr-FR"/>
        </w:rPr>
        <w:t xml:space="preserve"> niveau</w:t>
      </w:r>
      <w:r w:rsidR="00962988">
        <w:rPr>
          <w:rFonts w:eastAsia="Calibri"/>
          <w:lang w:val="fr-FR"/>
        </w:rPr>
        <w:t>x</w:t>
      </w:r>
      <w:r w:rsidRPr="006F0F1B">
        <w:rPr>
          <w:rFonts w:eastAsia="Calibri"/>
          <w:lang w:val="fr-FR"/>
        </w:rPr>
        <w:t xml:space="preserve"> législatif et institutionnel. Cela implique</w:t>
      </w:r>
      <w:r w:rsidR="00681809">
        <w:rPr>
          <w:rFonts w:eastAsia="Calibri"/>
          <w:lang w:val="fr-FR"/>
        </w:rPr>
        <w:t>,</w:t>
      </w:r>
      <w:r w:rsidRPr="006F0F1B">
        <w:rPr>
          <w:rFonts w:eastAsia="Calibri"/>
          <w:lang w:val="fr-FR"/>
        </w:rPr>
        <w:t xml:space="preserve"> par exemple</w:t>
      </w:r>
      <w:r w:rsidR="00681809">
        <w:rPr>
          <w:rFonts w:eastAsia="Calibri"/>
          <w:lang w:val="fr-FR"/>
        </w:rPr>
        <w:t>,</w:t>
      </w:r>
      <w:r w:rsidRPr="006F0F1B">
        <w:rPr>
          <w:rFonts w:eastAsia="Calibri"/>
          <w:lang w:val="fr-FR"/>
        </w:rPr>
        <w:t xml:space="preserve"> la révision de toutes les lois complémentaires touchant aux questions familiales et relatives au statut personnel, ainsi que la participation des femmes à ce processus. Cela concerne aussi la réglementation auxiliaire</w:t>
      </w:r>
      <w:r w:rsidR="00514FA6" w:rsidRPr="002F2C7C">
        <w:rPr>
          <w:rFonts w:eastAsia="Calibri"/>
          <w:lang w:val="fr-FR"/>
        </w:rPr>
        <w:t xml:space="preserve">, </w:t>
      </w:r>
      <w:r w:rsidR="00514FA6" w:rsidRPr="00273ABE">
        <w:rPr>
          <w:rFonts w:eastAsia="Calibri"/>
          <w:lang w:val="fr-FR"/>
        </w:rPr>
        <w:t xml:space="preserve">y compris en prévoyant des mesures spéciales </w:t>
      </w:r>
      <w:r w:rsidR="007110FD" w:rsidRPr="00273ABE">
        <w:rPr>
          <w:rFonts w:eastAsia="Calibri"/>
          <w:lang w:val="fr-FR"/>
        </w:rPr>
        <w:t>en cas</w:t>
      </w:r>
      <w:r w:rsidR="00514FA6" w:rsidRPr="00273ABE">
        <w:rPr>
          <w:rFonts w:eastAsia="Calibri"/>
          <w:lang w:val="fr-FR"/>
        </w:rPr>
        <w:t xml:space="preserve"> de besoin</w:t>
      </w:r>
      <w:r w:rsidRPr="002F2C7C">
        <w:rPr>
          <w:rFonts w:eastAsia="Calibri"/>
          <w:lang w:val="fr-FR"/>
        </w:rPr>
        <w:t xml:space="preserve"> dans</w:t>
      </w:r>
      <w:r w:rsidRPr="006F0F1B">
        <w:rPr>
          <w:rFonts w:eastAsia="Calibri"/>
          <w:lang w:val="fr-FR"/>
        </w:rPr>
        <w:t xml:space="preserve"> des domaines </w:t>
      </w:r>
      <w:r w:rsidR="0028253A">
        <w:rPr>
          <w:rFonts w:eastAsia="Calibri"/>
          <w:lang w:val="fr-FR"/>
        </w:rPr>
        <w:t xml:space="preserve">comme </w:t>
      </w:r>
      <w:r w:rsidRPr="006F0F1B">
        <w:rPr>
          <w:rFonts w:eastAsia="Calibri"/>
          <w:lang w:val="fr-FR"/>
        </w:rPr>
        <w:t xml:space="preserve">la fiscalité, la sécurité sociale, </w:t>
      </w:r>
      <w:r w:rsidRPr="0055010F">
        <w:rPr>
          <w:rFonts w:eastAsia="Calibri"/>
          <w:lang w:val="fr-FR"/>
        </w:rPr>
        <w:t>les droits à</w:t>
      </w:r>
      <w:r w:rsidRPr="006F0F1B">
        <w:rPr>
          <w:rFonts w:eastAsia="Calibri"/>
          <w:lang w:val="fr-FR"/>
        </w:rPr>
        <w:t xml:space="preserve"> la retraite, les pensions pour les survivants, </w:t>
      </w:r>
      <w:r w:rsidRPr="00B013FC">
        <w:rPr>
          <w:rFonts w:eastAsia="Calibri"/>
          <w:lang w:val="fr-FR"/>
        </w:rPr>
        <w:t xml:space="preserve">les droits </w:t>
      </w:r>
      <w:r w:rsidR="00B013FC" w:rsidRPr="00273ABE">
        <w:rPr>
          <w:rFonts w:eastAsia="Calibri"/>
          <w:lang w:val="fr-FR"/>
        </w:rPr>
        <w:t xml:space="preserve">relatifs à la </w:t>
      </w:r>
      <w:r w:rsidRPr="00B013FC">
        <w:rPr>
          <w:rFonts w:eastAsia="Calibri"/>
          <w:lang w:val="fr-FR"/>
        </w:rPr>
        <w:t>nationalité</w:t>
      </w:r>
      <w:r w:rsidRPr="006F0F1B">
        <w:rPr>
          <w:rFonts w:eastAsia="Calibri"/>
          <w:lang w:val="fr-FR"/>
        </w:rPr>
        <w:t xml:space="preserve"> et le droit au regroupement familial</w:t>
      </w:r>
      <w:r w:rsidRPr="006F0F1B" w:rsidDel="00C5153C">
        <w:rPr>
          <w:rFonts w:eastAsia="Calibri"/>
          <w:lang w:val="fr-FR"/>
        </w:rPr>
        <w:t xml:space="preserve"> </w:t>
      </w:r>
      <w:r w:rsidRPr="006F0F1B">
        <w:rPr>
          <w:rFonts w:eastAsia="Calibri"/>
          <w:lang w:val="fr-FR"/>
        </w:rPr>
        <w:t xml:space="preserve">pour </w:t>
      </w:r>
      <w:r w:rsidR="00250230">
        <w:rPr>
          <w:rFonts w:eastAsia="Calibri"/>
          <w:lang w:val="fr-FR"/>
        </w:rPr>
        <w:t>garantir l’</w:t>
      </w:r>
      <w:r w:rsidRPr="006F0F1B">
        <w:rPr>
          <w:rFonts w:eastAsia="Calibri"/>
          <w:lang w:val="fr-FR"/>
        </w:rPr>
        <w:t xml:space="preserve">égalité de fait des femmes et des filles dans </w:t>
      </w:r>
      <w:r w:rsidRPr="00DA64F5">
        <w:rPr>
          <w:rFonts w:eastAsia="Calibri"/>
          <w:lang w:val="fr-FR"/>
        </w:rPr>
        <w:t>les diverses formes de famille</w:t>
      </w:r>
      <w:r w:rsidRPr="006F0F1B">
        <w:rPr>
          <w:rFonts w:eastAsia="Calibri"/>
          <w:lang w:val="fr-FR"/>
        </w:rPr>
        <w:t xml:space="preserve">. </w:t>
      </w:r>
      <w:r w:rsidRPr="006F0F1B">
        <w:rPr>
          <w:rFonts w:eastAsia="Calibri"/>
          <w:color w:val="000000"/>
          <w:lang w:val="fr-FR"/>
        </w:rPr>
        <w:t xml:space="preserve">Les femmes doivent </w:t>
      </w:r>
      <w:r w:rsidRPr="00800791">
        <w:rPr>
          <w:rFonts w:eastAsia="Calibri"/>
          <w:color w:val="000000"/>
          <w:lang w:val="fr-FR"/>
        </w:rPr>
        <w:t>être présentes</w:t>
      </w:r>
      <w:r w:rsidRPr="006F0F1B">
        <w:rPr>
          <w:rFonts w:eastAsia="Calibri"/>
          <w:color w:val="000000"/>
          <w:lang w:val="fr-FR"/>
        </w:rPr>
        <w:t xml:space="preserve"> dans la formulation et l’interprétation des lois nationales, y</w:t>
      </w:r>
      <w:r w:rsidR="00681809">
        <w:rPr>
          <w:rFonts w:eastAsia="Calibri"/>
          <w:color w:val="000000"/>
          <w:lang w:val="fr-FR"/>
        </w:rPr>
        <w:t> </w:t>
      </w:r>
      <w:r w:rsidRPr="006F0F1B">
        <w:rPr>
          <w:rFonts w:eastAsia="Calibri"/>
          <w:color w:val="000000"/>
          <w:lang w:val="fr-FR"/>
        </w:rPr>
        <w:t xml:space="preserve">compris celles relatives aux affaires familiales. Au niveau institutionnel, elles doivent être </w:t>
      </w:r>
      <w:r w:rsidRPr="00250230">
        <w:rPr>
          <w:rFonts w:eastAsia="Calibri"/>
          <w:color w:val="000000"/>
          <w:lang w:val="fr-FR"/>
        </w:rPr>
        <w:t>présentes</w:t>
      </w:r>
      <w:r w:rsidRPr="006F0F1B">
        <w:rPr>
          <w:rFonts w:eastAsia="Calibri"/>
          <w:color w:val="000000"/>
          <w:lang w:val="fr-FR"/>
        </w:rPr>
        <w:t xml:space="preserve"> de manière égalitaire dans l’élaboration des politiques et dans les organes juridictionnels </w:t>
      </w:r>
      <w:r w:rsidR="00CD5862" w:rsidRPr="006F0F1B">
        <w:rPr>
          <w:rFonts w:eastAsia="Calibri"/>
          <w:color w:val="000000"/>
          <w:lang w:val="fr-FR"/>
        </w:rPr>
        <w:t>pour</w:t>
      </w:r>
      <w:r w:rsidRPr="006F0F1B">
        <w:rPr>
          <w:rFonts w:eastAsia="Calibri"/>
          <w:color w:val="000000"/>
          <w:lang w:val="fr-FR"/>
        </w:rPr>
        <w:t xml:space="preserve"> permettre une application efficace du principe d’égalité et rendre des décisions respectueuses de l</w:t>
      </w:r>
      <w:r w:rsidR="00BC7BEE">
        <w:rPr>
          <w:rFonts w:eastAsia="Calibri"/>
          <w:color w:val="000000"/>
          <w:lang w:val="fr-FR"/>
        </w:rPr>
        <w:t>’</w:t>
      </w:r>
      <w:r w:rsidRPr="006F0F1B">
        <w:rPr>
          <w:rFonts w:eastAsia="Calibri"/>
          <w:color w:val="000000"/>
          <w:lang w:val="fr-FR"/>
        </w:rPr>
        <w:t xml:space="preserve">égalité des sexes. </w:t>
      </w:r>
      <w:r w:rsidRPr="006F0F1B">
        <w:rPr>
          <w:rFonts w:eastAsia="Calibri"/>
          <w:lang w:val="fr-FR"/>
        </w:rPr>
        <w:t xml:space="preserve">L’amélioration de l’accès à la justice pour les femmes passe aussi par la formation à </w:t>
      </w:r>
      <w:r w:rsidRPr="00250230">
        <w:rPr>
          <w:rFonts w:eastAsia="Calibri"/>
          <w:lang w:val="fr-FR"/>
        </w:rPr>
        <w:t>l</w:t>
      </w:r>
      <w:r w:rsidR="00324022" w:rsidRPr="00250230">
        <w:rPr>
          <w:rFonts w:eastAsia="Calibri"/>
          <w:lang w:val="fr-FR"/>
        </w:rPr>
        <w:t xml:space="preserve">’égalité </w:t>
      </w:r>
      <w:r w:rsidRPr="00250230">
        <w:rPr>
          <w:rFonts w:eastAsia="Calibri"/>
          <w:lang w:val="fr-FR"/>
        </w:rPr>
        <w:t>de</w:t>
      </w:r>
      <w:r w:rsidR="00324022" w:rsidRPr="00250230">
        <w:rPr>
          <w:rFonts w:eastAsia="Calibri"/>
          <w:lang w:val="fr-FR"/>
        </w:rPr>
        <w:t>s</w:t>
      </w:r>
      <w:r w:rsidRPr="00250230">
        <w:rPr>
          <w:rFonts w:eastAsia="Calibri"/>
          <w:lang w:val="fr-FR"/>
        </w:rPr>
        <w:t xml:space="preserve"> genre</w:t>
      </w:r>
      <w:r w:rsidR="00324022" w:rsidRPr="00250230">
        <w:rPr>
          <w:rFonts w:eastAsia="Calibri"/>
          <w:lang w:val="fr-FR"/>
        </w:rPr>
        <w:t>s</w:t>
      </w:r>
      <w:r w:rsidRPr="006F0F1B">
        <w:rPr>
          <w:rFonts w:eastAsia="Calibri"/>
          <w:lang w:val="fr-FR"/>
        </w:rPr>
        <w:t xml:space="preserve"> des autorités étatiques et des agents non</w:t>
      </w:r>
      <w:r w:rsidR="00681809">
        <w:rPr>
          <w:rFonts w:eastAsia="Calibri"/>
          <w:lang w:val="fr-FR"/>
        </w:rPr>
        <w:t xml:space="preserve"> </w:t>
      </w:r>
      <w:r w:rsidRPr="006F0F1B">
        <w:rPr>
          <w:rFonts w:eastAsia="Calibri"/>
          <w:lang w:val="fr-FR"/>
        </w:rPr>
        <w:t>étatiques charg</w:t>
      </w:r>
      <w:r w:rsidR="002B59A5">
        <w:rPr>
          <w:rFonts w:eastAsia="Calibri"/>
          <w:lang w:val="fr-FR"/>
        </w:rPr>
        <w:t>és</w:t>
      </w:r>
      <w:r w:rsidRPr="006F0F1B">
        <w:rPr>
          <w:rFonts w:eastAsia="Calibri"/>
          <w:lang w:val="fr-FR"/>
        </w:rPr>
        <w:t xml:space="preserve"> de l’application des lois, des services sociaux, de l’éducation, </w:t>
      </w:r>
      <w:r w:rsidR="00250230">
        <w:rPr>
          <w:rFonts w:eastAsia="Calibri"/>
          <w:lang w:val="fr-FR"/>
        </w:rPr>
        <w:t xml:space="preserve">et du </w:t>
      </w:r>
      <w:r w:rsidRPr="006F0F1B">
        <w:rPr>
          <w:rFonts w:eastAsia="Calibri"/>
          <w:lang w:val="fr-FR"/>
        </w:rPr>
        <w:t>personnel médical et médico-légal.</w:t>
      </w:r>
    </w:p>
    <w:p w:rsidR="006879D2" w:rsidRPr="006F0F1B" w:rsidRDefault="00896432" w:rsidP="00896432">
      <w:pPr>
        <w:pStyle w:val="HChG"/>
        <w:rPr>
          <w:lang w:val="fr-FR"/>
        </w:rPr>
      </w:pPr>
      <w:bookmarkStart w:id="25" w:name="_Toc412190778"/>
      <w:bookmarkStart w:id="26" w:name="_Toc414009673"/>
      <w:r w:rsidRPr="006F0F1B">
        <w:rPr>
          <w:lang w:val="fr-FR"/>
        </w:rPr>
        <w:tab/>
        <w:t>IV.</w:t>
      </w:r>
      <w:r w:rsidRPr="006F0F1B">
        <w:rPr>
          <w:lang w:val="fr-FR"/>
        </w:rPr>
        <w:tab/>
      </w:r>
      <w:r w:rsidR="006879D2" w:rsidRPr="006F0F1B">
        <w:rPr>
          <w:lang w:val="fr-FR"/>
        </w:rPr>
        <w:t>Conclusion</w:t>
      </w:r>
      <w:r w:rsidR="00F144C9" w:rsidRPr="006F0F1B">
        <w:rPr>
          <w:lang w:val="fr-FR"/>
        </w:rPr>
        <w:t>s</w:t>
      </w:r>
      <w:r w:rsidR="006879D2" w:rsidRPr="006F0F1B">
        <w:rPr>
          <w:lang w:val="fr-FR"/>
        </w:rPr>
        <w:t xml:space="preserve"> et recommandations</w:t>
      </w:r>
      <w:bookmarkEnd w:id="25"/>
      <w:bookmarkEnd w:id="26"/>
    </w:p>
    <w:p w:rsidR="006879D2" w:rsidRPr="006F0F1B" w:rsidRDefault="006879D2" w:rsidP="00514FA6">
      <w:pPr>
        <w:pStyle w:val="SingleTxtG"/>
        <w:numPr>
          <w:ilvl w:val="0"/>
          <w:numId w:val="33"/>
        </w:numPr>
        <w:ind w:left="1134" w:firstLine="0"/>
        <w:rPr>
          <w:rFonts w:eastAsia="Calibri"/>
          <w:b/>
          <w:lang w:val="fr-FR"/>
        </w:rPr>
      </w:pPr>
      <w:r w:rsidRPr="006F0F1B">
        <w:rPr>
          <w:rFonts w:eastAsia="Calibri"/>
          <w:b/>
          <w:lang w:val="fr-FR"/>
        </w:rPr>
        <w:t>La construction</w:t>
      </w:r>
      <w:r w:rsidRPr="00ED069E">
        <w:rPr>
          <w:rFonts w:eastAsia="Calibri"/>
          <w:b/>
          <w:lang w:val="fr-FR"/>
        </w:rPr>
        <w:t xml:space="preserve"> </w:t>
      </w:r>
      <w:r w:rsidRPr="006F0F1B">
        <w:rPr>
          <w:rFonts w:eastAsia="Calibri"/>
          <w:b/>
          <w:lang w:val="fr-FR"/>
        </w:rPr>
        <w:t>culturelle du genre fait</w:t>
      </w:r>
      <w:r w:rsidRPr="00ED069E">
        <w:rPr>
          <w:rFonts w:eastAsia="Calibri"/>
          <w:b/>
          <w:lang w:val="fr-FR"/>
        </w:rPr>
        <w:t xml:space="preserve"> appara</w:t>
      </w:r>
      <w:r w:rsidR="00905BBE">
        <w:rPr>
          <w:rFonts w:eastAsia="Calibri"/>
          <w:b/>
          <w:lang w:val="fr-FR"/>
        </w:rPr>
        <w:t>î</w:t>
      </w:r>
      <w:r w:rsidRPr="00ED069E">
        <w:rPr>
          <w:rFonts w:eastAsia="Calibri"/>
          <w:b/>
          <w:lang w:val="fr-FR"/>
        </w:rPr>
        <w:t xml:space="preserve">tre </w:t>
      </w:r>
      <w:r w:rsidRPr="006F0F1B">
        <w:rPr>
          <w:rFonts w:eastAsia="Calibri"/>
          <w:b/>
          <w:lang w:val="fr-FR"/>
        </w:rPr>
        <w:t>l</w:t>
      </w:r>
      <w:r w:rsidR="00BC7BEE">
        <w:rPr>
          <w:rFonts w:eastAsia="Calibri"/>
          <w:b/>
          <w:lang w:val="fr-FR"/>
        </w:rPr>
        <w:t>’</w:t>
      </w:r>
      <w:r w:rsidRPr="006F0F1B">
        <w:rPr>
          <w:rFonts w:eastAsia="Calibri"/>
          <w:b/>
          <w:lang w:val="fr-FR"/>
        </w:rPr>
        <w:t>assujettissement</w:t>
      </w:r>
      <w:r w:rsidRPr="00ED069E">
        <w:rPr>
          <w:rFonts w:eastAsia="Calibri"/>
          <w:b/>
          <w:lang w:val="fr-FR"/>
        </w:rPr>
        <w:t xml:space="preserve"> </w:t>
      </w:r>
      <w:r w:rsidRPr="006F0F1B">
        <w:rPr>
          <w:rFonts w:eastAsia="Calibri"/>
          <w:b/>
          <w:lang w:val="fr-FR"/>
        </w:rPr>
        <w:t>des femmes</w:t>
      </w:r>
      <w:r w:rsidRPr="00ED069E">
        <w:rPr>
          <w:rFonts w:eastAsia="Calibri"/>
          <w:b/>
          <w:lang w:val="fr-FR"/>
        </w:rPr>
        <w:t xml:space="preserve"> </w:t>
      </w:r>
      <w:r w:rsidRPr="006F0F1B">
        <w:rPr>
          <w:rFonts w:eastAsia="Calibri"/>
          <w:b/>
          <w:lang w:val="fr-FR"/>
        </w:rPr>
        <w:t>à la discrimination et à</w:t>
      </w:r>
      <w:r w:rsidRPr="00ED069E">
        <w:rPr>
          <w:rFonts w:eastAsia="Calibri"/>
          <w:b/>
          <w:lang w:val="fr-FR"/>
        </w:rPr>
        <w:t xml:space="preserve"> </w:t>
      </w:r>
      <w:r w:rsidRPr="006F0F1B">
        <w:rPr>
          <w:rFonts w:eastAsia="Calibri"/>
          <w:b/>
          <w:lang w:val="fr-FR"/>
        </w:rPr>
        <w:t>la violence sexiste</w:t>
      </w:r>
      <w:r w:rsidR="002B59A5">
        <w:rPr>
          <w:rFonts w:eastAsia="Calibri"/>
          <w:b/>
          <w:lang w:val="fr-FR"/>
        </w:rPr>
        <w:t>s</w:t>
      </w:r>
      <w:r w:rsidRPr="00ED069E">
        <w:rPr>
          <w:rFonts w:eastAsia="Calibri"/>
          <w:b/>
          <w:lang w:val="fr-FR"/>
        </w:rPr>
        <w:t xml:space="preserve"> </w:t>
      </w:r>
      <w:r w:rsidRPr="006F0F1B">
        <w:rPr>
          <w:rFonts w:eastAsia="Calibri"/>
          <w:b/>
          <w:lang w:val="fr-FR"/>
        </w:rPr>
        <w:t>comme</w:t>
      </w:r>
      <w:r w:rsidRPr="00ED069E">
        <w:rPr>
          <w:rFonts w:eastAsia="Calibri"/>
          <w:b/>
          <w:lang w:val="fr-FR"/>
        </w:rPr>
        <w:t xml:space="preserve"> </w:t>
      </w:r>
      <w:r w:rsidRPr="006F0F1B">
        <w:rPr>
          <w:rFonts w:eastAsia="Calibri"/>
          <w:b/>
          <w:lang w:val="fr-FR"/>
        </w:rPr>
        <w:t>inhérent et</w:t>
      </w:r>
      <w:r w:rsidRPr="00ED069E">
        <w:rPr>
          <w:rFonts w:eastAsia="Calibri"/>
          <w:b/>
          <w:lang w:val="fr-FR"/>
        </w:rPr>
        <w:t xml:space="preserve"> </w:t>
      </w:r>
      <w:r w:rsidRPr="006F0F1B">
        <w:rPr>
          <w:rFonts w:eastAsia="Calibri"/>
          <w:b/>
          <w:lang w:val="fr-FR"/>
        </w:rPr>
        <w:t>immuable</w:t>
      </w:r>
      <w:r w:rsidRPr="00ED069E">
        <w:rPr>
          <w:rFonts w:eastAsia="Calibri"/>
          <w:b/>
          <w:lang w:val="fr-FR"/>
        </w:rPr>
        <w:t xml:space="preserve">. </w:t>
      </w:r>
      <w:r w:rsidRPr="006F0F1B">
        <w:rPr>
          <w:rFonts w:eastAsia="Calibri"/>
          <w:b/>
          <w:lang w:val="fr-FR"/>
        </w:rPr>
        <w:t>La famille</w:t>
      </w:r>
      <w:r w:rsidRPr="00ED069E">
        <w:rPr>
          <w:rFonts w:eastAsia="Calibri"/>
          <w:b/>
          <w:lang w:val="fr-FR"/>
        </w:rPr>
        <w:t xml:space="preserve"> </w:t>
      </w:r>
      <w:r w:rsidRPr="006F0F1B">
        <w:rPr>
          <w:rFonts w:eastAsia="Calibri"/>
          <w:b/>
          <w:lang w:val="fr-FR"/>
        </w:rPr>
        <w:t>patriarcale</w:t>
      </w:r>
      <w:r w:rsidRPr="00ED069E">
        <w:rPr>
          <w:rFonts w:eastAsia="Calibri"/>
          <w:b/>
          <w:lang w:val="fr-FR"/>
        </w:rPr>
        <w:t xml:space="preserve"> </w:t>
      </w:r>
      <w:r w:rsidRPr="006F0F1B">
        <w:rPr>
          <w:rFonts w:eastAsia="Calibri"/>
          <w:b/>
          <w:lang w:val="fr-FR"/>
        </w:rPr>
        <w:t>résulte</w:t>
      </w:r>
      <w:r w:rsidRPr="00ED069E">
        <w:rPr>
          <w:rFonts w:eastAsia="Calibri"/>
          <w:b/>
          <w:lang w:val="fr-FR"/>
        </w:rPr>
        <w:t xml:space="preserve"> </w:t>
      </w:r>
      <w:r w:rsidRPr="006F0F1B">
        <w:rPr>
          <w:rFonts w:eastAsia="Calibri"/>
          <w:b/>
          <w:lang w:val="fr-FR"/>
        </w:rPr>
        <w:t>de cette construction</w:t>
      </w:r>
      <w:r w:rsidRPr="00ED069E">
        <w:rPr>
          <w:rFonts w:eastAsia="Calibri"/>
          <w:b/>
          <w:lang w:val="fr-FR"/>
        </w:rPr>
        <w:t xml:space="preserve"> </w:t>
      </w:r>
      <w:r w:rsidRPr="006F0F1B">
        <w:rPr>
          <w:rFonts w:eastAsia="Calibri"/>
          <w:b/>
          <w:lang w:val="fr-FR"/>
        </w:rPr>
        <w:t>et est le mécanisme</w:t>
      </w:r>
      <w:r w:rsidRPr="00ED069E">
        <w:rPr>
          <w:rFonts w:eastAsia="Calibri"/>
          <w:b/>
          <w:lang w:val="fr-FR"/>
        </w:rPr>
        <w:t xml:space="preserve"> </w:t>
      </w:r>
      <w:r w:rsidRPr="006F0F1B">
        <w:rPr>
          <w:rFonts w:eastAsia="Calibri"/>
          <w:b/>
          <w:lang w:val="fr-FR"/>
        </w:rPr>
        <w:t>social le plus</w:t>
      </w:r>
      <w:r w:rsidRPr="00ED069E">
        <w:rPr>
          <w:rFonts w:eastAsia="Calibri"/>
          <w:b/>
          <w:lang w:val="fr-FR"/>
        </w:rPr>
        <w:t xml:space="preserve"> </w:t>
      </w:r>
      <w:r w:rsidRPr="006F0F1B">
        <w:rPr>
          <w:rFonts w:eastAsia="Calibri"/>
          <w:b/>
          <w:lang w:val="fr-FR"/>
        </w:rPr>
        <w:t>important pour</w:t>
      </w:r>
      <w:r w:rsidRPr="00ED069E">
        <w:rPr>
          <w:rFonts w:eastAsia="Calibri"/>
          <w:b/>
          <w:lang w:val="fr-FR"/>
        </w:rPr>
        <w:t xml:space="preserve"> </w:t>
      </w:r>
      <w:r w:rsidRPr="006F0F1B">
        <w:rPr>
          <w:rFonts w:eastAsia="Calibri"/>
          <w:b/>
          <w:lang w:val="fr-FR"/>
        </w:rPr>
        <w:t>sa perpétuation</w:t>
      </w:r>
      <w:r w:rsidRPr="00ED069E">
        <w:rPr>
          <w:rFonts w:eastAsia="Calibri"/>
          <w:b/>
          <w:lang w:val="fr-FR"/>
        </w:rPr>
        <w:t xml:space="preserve">. </w:t>
      </w:r>
      <w:r w:rsidRPr="006F0F1B">
        <w:rPr>
          <w:rFonts w:eastAsia="Calibri"/>
          <w:b/>
          <w:lang w:val="fr-FR"/>
        </w:rPr>
        <w:t>Le potentiel humain des femmes et des filles est restreint dans les familles</w:t>
      </w:r>
      <w:r w:rsidRPr="00ED069E">
        <w:rPr>
          <w:rFonts w:eastAsia="Calibri"/>
          <w:b/>
          <w:lang w:val="fr-FR"/>
        </w:rPr>
        <w:t xml:space="preserve">. </w:t>
      </w:r>
      <w:r w:rsidRPr="006F0F1B">
        <w:rPr>
          <w:rFonts w:eastAsia="Calibri"/>
          <w:b/>
          <w:lang w:val="fr-FR"/>
        </w:rPr>
        <w:t>Reconna</w:t>
      </w:r>
      <w:r w:rsidR="00905BBE">
        <w:rPr>
          <w:rFonts w:eastAsia="Calibri"/>
          <w:b/>
          <w:lang w:val="fr-FR"/>
        </w:rPr>
        <w:t>î</w:t>
      </w:r>
      <w:r w:rsidRPr="006F0F1B">
        <w:rPr>
          <w:rFonts w:eastAsia="Calibri"/>
          <w:b/>
          <w:lang w:val="fr-FR"/>
        </w:rPr>
        <w:t xml:space="preserve">tre que </w:t>
      </w:r>
      <w:r w:rsidRPr="00ED069E">
        <w:rPr>
          <w:rFonts w:eastAsia="Calibri"/>
          <w:b/>
          <w:lang w:val="fr-FR"/>
        </w:rPr>
        <w:t xml:space="preserve">les </w:t>
      </w:r>
      <w:r w:rsidRPr="006F0F1B">
        <w:rPr>
          <w:rFonts w:eastAsia="Calibri"/>
          <w:b/>
          <w:lang w:val="fr-FR"/>
        </w:rPr>
        <w:t>droits des femmes</w:t>
      </w:r>
      <w:r w:rsidRPr="00ED069E">
        <w:rPr>
          <w:rFonts w:eastAsia="Calibri"/>
          <w:b/>
          <w:lang w:val="fr-FR"/>
        </w:rPr>
        <w:t xml:space="preserve"> </w:t>
      </w:r>
      <w:r w:rsidRPr="006F0F1B">
        <w:rPr>
          <w:rFonts w:eastAsia="Calibri"/>
          <w:b/>
          <w:lang w:val="fr-FR"/>
        </w:rPr>
        <w:t>sont des droits humains</w:t>
      </w:r>
      <w:r w:rsidRPr="00ED069E">
        <w:rPr>
          <w:rFonts w:eastAsia="Calibri"/>
          <w:b/>
          <w:lang w:val="fr-FR"/>
        </w:rPr>
        <w:t xml:space="preserve"> </w:t>
      </w:r>
      <w:r w:rsidRPr="006F0F1B">
        <w:rPr>
          <w:rFonts w:eastAsia="Calibri"/>
          <w:b/>
          <w:lang w:val="fr-FR"/>
        </w:rPr>
        <w:t>et qu</w:t>
      </w:r>
      <w:r w:rsidR="00BC7BEE">
        <w:rPr>
          <w:rFonts w:eastAsia="Calibri"/>
          <w:b/>
          <w:lang w:val="fr-FR"/>
        </w:rPr>
        <w:t>’</w:t>
      </w:r>
      <w:r w:rsidRPr="006F0F1B">
        <w:rPr>
          <w:rFonts w:eastAsia="Calibri"/>
          <w:b/>
          <w:lang w:val="fr-FR"/>
        </w:rPr>
        <w:t>ils</w:t>
      </w:r>
      <w:r w:rsidRPr="00ED069E">
        <w:rPr>
          <w:rFonts w:eastAsia="Calibri"/>
          <w:b/>
          <w:lang w:val="fr-FR"/>
        </w:rPr>
        <w:t xml:space="preserve"> </w:t>
      </w:r>
      <w:r w:rsidRPr="006F0F1B">
        <w:rPr>
          <w:rFonts w:eastAsia="Calibri"/>
          <w:b/>
          <w:lang w:val="fr-FR"/>
        </w:rPr>
        <w:t>sont universels et indivisibles</w:t>
      </w:r>
      <w:r w:rsidRPr="00ED069E">
        <w:rPr>
          <w:rFonts w:eastAsia="Calibri"/>
          <w:b/>
          <w:lang w:val="fr-FR"/>
        </w:rPr>
        <w:t xml:space="preserve"> </w:t>
      </w:r>
      <w:r w:rsidRPr="00250230">
        <w:rPr>
          <w:rFonts w:eastAsia="Calibri"/>
          <w:b/>
          <w:lang w:val="fr-FR"/>
        </w:rPr>
        <w:t>a exposé l</w:t>
      </w:r>
      <w:r w:rsidR="00BC7BEE" w:rsidRPr="001D7008">
        <w:rPr>
          <w:rFonts w:eastAsia="Calibri"/>
          <w:b/>
          <w:lang w:val="fr-FR"/>
        </w:rPr>
        <w:t>’</w:t>
      </w:r>
      <w:r w:rsidRPr="00800791">
        <w:rPr>
          <w:rFonts w:eastAsia="Calibri"/>
          <w:b/>
          <w:lang w:val="fr-FR"/>
        </w:rPr>
        <w:t>impact préjudiciable qu’à cette construction du genre</w:t>
      </w:r>
      <w:r w:rsidR="002D54FB" w:rsidRPr="005E778E">
        <w:rPr>
          <w:rFonts w:eastAsia="Calibri"/>
          <w:b/>
          <w:lang w:val="fr-FR"/>
        </w:rPr>
        <w:t xml:space="preserve"> </w:t>
      </w:r>
      <w:r w:rsidRPr="005E778E">
        <w:rPr>
          <w:rFonts w:eastAsia="Calibri"/>
          <w:b/>
          <w:lang w:val="fr-FR"/>
        </w:rPr>
        <w:t xml:space="preserve">sur les femmes et les filles, dans les familles et </w:t>
      </w:r>
      <w:r w:rsidR="00BC4890" w:rsidRPr="005E778E">
        <w:rPr>
          <w:rFonts w:eastAsia="Calibri"/>
          <w:b/>
          <w:lang w:val="fr-FR"/>
        </w:rPr>
        <w:t xml:space="preserve">dans </w:t>
      </w:r>
      <w:r w:rsidRPr="005E778E">
        <w:rPr>
          <w:rFonts w:eastAsia="Calibri"/>
          <w:b/>
          <w:lang w:val="fr-FR"/>
        </w:rPr>
        <w:t>les communautés. La nécessité d</w:t>
      </w:r>
      <w:r w:rsidR="00BC7BEE" w:rsidRPr="005E778E">
        <w:rPr>
          <w:rFonts w:eastAsia="Calibri"/>
          <w:b/>
          <w:lang w:val="fr-FR"/>
        </w:rPr>
        <w:t>’</w:t>
      </w:r>
      <w:r w:rsidRPr="005E778E">
        <w:rPr>
          <w:rFonts w:eastAsia="Calibri"/>
          <w:b/>
          <w:lang w:val="fr-FR"/>
        </w:rPr>
        <w:t>un changement de paradigme</w:t>
      </w:r>
      <w:r w:rsidRPr="00ED069E">
        <w:rPr>
          <w:rFonts w:eastAsia="Calibri"/>
          <w:b/>
          <w:lang w:val="fr-FR"/>
        </w:rPr>
        <w:t xml:space="preserve"> </w:t>
      </w:r>
      <w:r w:rsidRPr="006F0F1B">
        <w:rPr>
          <w:rFonts w:eastAsia="Calibri"/>
          <w:b/>
          <w:lang w:val="fr-FR"/>
        </w:rPr>
        <w:t>a été clairement</w:t>
      </w:r>
      <w:r w:rsidRPr="00ED069E">
        <w:rPr>
          <w:rFonts w:eastAsia="Calibri"/>
          <w:b/>
          <w:lang w:val="fr-FR"/>
        </w:rPr>
        <w:t xml:space="preserve"> </w:t>
      </w:r>
      <w:r w:rsidRPr="006F0F1B">
        <w:rPr>
          <w:rFonts w:eastAsia="Calibri"/>
          <w:b/>
          <w:lang w:val="fr-FR"/>
        </w:rPr>
        <w:t>énoncé</w:t>
      </w:r>
      <w:r w:rsidR="002B59A5">
        <w:rPr>
          <w:rFonts w:eastAsia="Calibri"/>
          <w:b/>
          <w:lang w:val="fr-FR"/>
        </w:rPr>
        <w:t>e</w:t>
      </w:r>
      <w:r w:rsidRPr="006F0F1B">
        <w:rPr>
          <w:rFonts w:eastAsia="Calibri"/>
          <w:b/>
          <w:lang w:val="fr-FR"/>
        </w:rPr>
        <w:t xml:space="preserve"> dans</w:t>
      </w:r>
      <w:r w:rsidRPr="00ED069E">
        <w:rPr>
          <w:rFonts w:eastAsia="Calibri"/>
          <w:b/>
          <w:lang w:val="fr-FR"/>
        </w:rPr>
        <w:t xml:space="preserve"> le </w:t>
      </w:r>
      <w:r w:rsidR="00161EB5" w:rsidRPr="00273ABE">
        <w:rPr>
          <w:rFonts w:eastAsia="Calibri"/>
          <w:b/>
          <w:lang w:val="fr-FR"/>
        </w:rPr>
        <w:t>droit international relatif aux droits de l’homme</w:t>
      </w:r>
      <w:r w:rsidRPr="00ED069E">
        <w:rPr>
          <w:rFonts w:eastAsia="Calibri"/>
          <w:b/>
          <w:lang w:val="fr-FR"/>
        </w:rPr>
        <w:t xml:space="preserve"> </w:t>
      </w:r>
      <w:r w:rsidRPr="006F0F1B">
        <w:rPr>
          <w:rFonts w:eastAsia="Calibri"/>
          <w:b/>
          <w:lang w:val="fr-FR"/>
        </w:rPr>
        <w:t>qui a</w:t>
      </w:r>
      <w:r w:rsidRPr="00ED069E">
        <w:rPr>
          <w:rFonts w:eastAsia="Calibri"/>
          <w:b/>
          <w:lang w:val="fr-FR"/>
        </w:rPr>
        <w:t xml:space="preserve">, </w:t>
      </w:r>
      <w:r w:rsidRPr="006F0F1B">
        <w:rPr>
          <w:rFonts w:eastAsia="Calibri"/>
          <w:b/>
          <w:lang w:val="fr-FR"/>
        </w:rPr>
        <w:t>depuis 1948</w:t>
      </w:r>
      <w:r w:rsidRPr="00ED069E">
        <w:rPr>
          <w:rFonts w:eastAsia="Calibri"/>
          <w:b/>
          <w:lang w:val="fr-FR"/>
        </w:rPr>
        <w:t>,</w:t>
      </w:r>
      <w:r w:rsidRPr="006F0F1B">
        <w:rPr>
          <w:rFonts w:eastAsia="Calibri"/>
          <w:b/>
          <w:lang w:val="fr-FR"/>
        </w:rPr>
        <w:t xml:space="preserve"> établi le droit</w:t>
      </w:r>
      <w:r w:rsidRPr="00ED069E">
        <w:rPr>
          <w:rFonts w:eastAsia="Calibri"/>
          <w:b/>
          <w:lang w:val="fr-FR"/>
        </w:rPr>
        <w:t xml:space="preserve"> </w:t>
      </w:r>
      <w:r w:rsidRPr="006F0F1B">
        <w:rPr>
          <w:rFonts w:eastAsia="Calibri"/>
          <w:b/>
          <w:lang w:val="fr-FR"/>
        </w:rPr>
        <w:t>des femmes</w:t>
      </w:r>
      <w:r w:rsidRPr="00ED069E">
        <w:rPr>
          <w:rFonts w:eastAsia="Calibri"/>
          <w:b/>
          <w:lang w:val="fr-FR"/>
        </w:rPr>
        <w:t xml:space="preserve"> </w:t>
      </w:r>
      <w:r w:rsidRPr="006F0F1B">
        <w:rPr>
          <w:rFonts w:eastAsia="Calibri"/>
          <w:b/>
          <w:lang w:val="fr-FR"/>
        </w:rPr>
        <w:t>à l</w:t>
      </w:r>
      <w:r w:rsidR="00BC7BEE">
        <w:rPr>
          <w:rFonts w:eastAsia="Calibri"/>
          <w:b/>
          <w:lang w:val="fr-FR"/>
        </w:rPr>
        <w:t>’</w:t>
      </w:r>
      <w:r w:rsidRPr="006F0F1B">
        <w:rPr>
          <w:rFonts w:eastAsia="Calibri"/>
          <w:b/>
          <w:lang w:val="fr-FR"/>
        </w:rPr>
        <w:t>égalité</w:t>
      </w:r>
      <w:r w:rsidRPr="00ED069E">
        <w:rPr>
          <w:rFonts w:eastAsia="Calibri"/>
          <w:b/>
          <w:lang w:val="fr-FR"/>
        </w:rPr>
        <w:t xml:space="preserve"> </w:t>
      </w:r>
      <w:r w:rsidRPr="006F0F1B">
        <w:rPr>
          <w:rFonts w:eastAsia="Calibri"/>
          <w:b/>
          <w:lang w:val="fr-FR"/>
        </w:rPr>
        <w:t>dans toutes les sphères</w:t>
      </w:r>
      <w:r w:rsidRPr="00ED069E">
        <w:rPr>
          <w:rFonts w:eastAsia="Calibri"/>
          <w:b/>
          <w:lang w:val="fr-FR"/>
        </w:rPr>
        <w:t xml:space="preserve"> </w:t>
      </w:r>
      <w:r w:rsidRPr="006F0F1B">
        <w:rPr>
          <w:rFonts w:eastAsia="Calibri"/>
          <w:b/>
          <w:lang w:val="fr-FR"/>
        </w:rPr>
        <w:t>de la vie</w:t>
      </w:r>
      <w:r w:rsidRPr="00ED069E">
        <w:rPr>
          <w:rFonts w:eastAsia="Calibri"/>
          <w:b/>
          <w:lang w:val="fr-FR"/>
        </w:rPr>
        <w:t xml:space="preserve">, </w:t>
      </w:r>
      <w:r w:rsidRPr="006F0F1B">
        <w:rPr>
          <w:rFonts w:eastAsia="Calibri"/>
          <w:b/>
          <w:lang w:val="fr-FR"/>
        </w:rPr>
        <w:t>dans la culture et</w:t>
      </w:r>
      <w:r w:rsidRPr="00ED069E">
        <w:rPr>
          <w:rFonts w:eastAsia="Calibri"/>
          <w:b/>
          <w:lang w:val="fr-FR"/>
        </w:rPr>
        <w:t xml:space="preserve"> </w:t>
      </w:r>
      <w:r w:rsidRPr="006F0F1B">
        <w:rPr>
          <w:rFonts w:eastAsia="Calibri"/>
          <w:b/>
          <w:lang w:val="fr-FR"/>
        </w:rPr>
        <w:t>dans la famille</w:t>
      </w:r>
      <w:r w:rsidR="00514FA6">
        <w:rPr>
          <w:rFonts w:eastAsia="Calibri"/>
          <w:b/>
          <w:lang w:val="fr-FR"/>
        </w:rPr>
        <w:t xml:space="preserve">. </w:t>
      </w:r>
      <w:r w:rsidRPr="000529DC">
        <w:rPr>
          <w:rFonts w:eastAsia="Calibri"/>
          <w:b/>
          <w:lang w:val="fr-FR"/>
        </w:rPr>
        <w:t>Eleanor</w:t>
      </w:r>
      <w:r w:rsidRPr="00ED069E">
        <w:rPr>
          <w:rFonts w:eastAsia="Calibri"/>
          <w:b/>
          <w:lang w:val="fr-FR"/>
        </w:rPr>
        <w:t xml:space="preserve"> </w:t>
      </w:r>
      <w:r w:rsidRPr="006F0F1B">
        <w:rPr>
          <w:rFonts w:eastAsia="Calibri"/>
          <w:b/>
          <w:lang w:val="fr-FR"/>
        </w:rPr>
        <w:t>Roosevelt</w:t>
      </w:r>
      <w:r w:rsidR="00514FA6">
        <w:rPr>
          <w:rFonts w:eastAsia="Calibri"/>
          <w:b/>
          <w:lang w:val="fr-FR"/>
        </w:rPr>
        <w:t xml:space="preserve"> disait déjà en 1958</w:t>
      </w:r>
      <w:r w:rsidRPr="00DA64F5">
        <w:rPr>
          <w:rFonts w:eastAsia="Calibri"/>
          <w:b/>
          <w:lang w:val="fr-FR"/>
        </w:rPr>
        <w:t>: «Où commencent les droits universels, après tout? Ils commencent près de chez soi, en des lieux si proches et si petits qu’on ne peut les voir sur</w:t>
      </w:r>
      <w:r w:rsidRPr="00E32163">
        <w:rPr>
          <w:rFonts w:eastAsia="Calibri"/>
          <w:b/>
          <w:lang w:val="fr-FR"/>
        </w:rPr>
        <w:t xml:space="preserve"> aucune carte du monde. […] C’est là que chaque homme, chaque femme et chaque enfant aspire à l’équité dans la justice, à l’égalité des opportunités et à la même dignité sans discrimination. Si dans ces lieux les droits sont dénués de sens, ils n’en auront</w:t>
      </w:r>
      <w:r w:rsidRPr="0016746E">
        <w:rPr>
          <w:rFonts w:eastAsia="Calibri"/>
          <w:b/>
          <w:lang w:val="fr-FR"/>
        </w:rPr>
        <w:t xml:space="preserve"> guère davantage ailleurs</w:t>
      </w:r>
      <w:r w:rsidR="0047502B" w:rsidRPr="0016746E">
        <w:rPr>
          <w:rStyle w:val="FootnoteReference"/>
          <w:rFonts w:eastAsia="Calibri"/>
          <w:b/>
          <w:lang w:val="fr-FR"/>
        </w:rPr>
        <w:footnoteReference w:id="47"/>
      </w:r>
      <w:r w:rsidRPr="0016746E">
        <w:rPr>
          <w:rFonts w:eastAsia="Calibri"/>
          <w:b/>
          <w:lang w:val="fr-FR"/>
        </w:rPr>
        <w:t>.</w:t>
      </w:r>
      <w:r w:rsidR="00514FA6" w:rsidRPr="00E73028">
        <w:rPr>
          <w:rFonts w:eastAsia="Calibri"/>
          <w:b/>
          <w:lang w:val="fr-FR"/>
        </w:rPr>
        <w:t>»</w:t>
      </w:r>
    </w:p>
    <w:p w:rsidR="006879D2" w:rsidRPr="006F0F1B" w:rsidRDefault="006879D2" w:rsidP="006A5AA5">
      <w:pPr>
        <w:pStyle w:val="SingleTxtG"/>
        <w:numPr>
          <w:ilvl w:val="0"/>
          <w:numId w:val="33"/>
        </w:numPr>
        <w:ind w:left="1134" w:firstLine="0"/>
        <w:rPr>
          <w:rFonts w:eastAsia="Calibri"/>
          <w:b/>
          <w:lang w:val="fr-FR"/>
        </w:rPr>
      </w:pPr>
      <w:r w:rsidRPr="006F0F1B">
        <w:rPr>
          <w:rFonts w:eastAsia="Calibri"/>
          <w:b/>
          <w:bCs/>
          <w:color w:val="000000"/>
          <w:lang w:val="fr-FR"/>
        </w:rPr>
        <w:t>L’</w:t>
      </w:r>
      <w:r w:rsidR="003551BA" w:rsidRPr="00ED069E">
        <w:rPr>
          <w:rFonts w:eastAsia="Calibri"/>
          <w:b/>
          <w:bCs/>
          <w:color w:val="000000"/>
          <w:lang w:val="fr-FR"/>
        </w:rPr>
        <w:t>État</w:t>
      </w:r>
      <w:r w:rsidRPr="006F0F1B">
        <w:rPr>
          <w:rFonts w:eastAsia="Calibri"/>
          <w:b/>
          <w:bCs/>
          <w:color w:val="000000"/>
          <w:lang w:val="fr-FR"/>
        </w:rPr>
        <w:t xml:space="preserve"> doit agir comme un acteur du changement concernant la place des femmes dans la vie culturelle et familiale, </w:t>
      </w:r>
      <w:r w:rsidRPr="006F0F1B">
        <w:rPr>
          <w:rFonts w:eastAsia="Calibri"/>
          <w:b/>
          <w:lang w:val="fr-FR"/>
        </w:rPr>
        <w:t>notamment en encour</w:t>
      </w:r>
      <w:r w:rsidRPr="006F0F1B">
        <w:rPr>
          <w:rFonts w:eastAsia="Calibri"/>
          <w:b/>
          <w:bCs/>
          <w:color w:val="000000"/>
          <w:lang w:val="fr-FR"/>
        </w:rPr>
        <w:t xml:space="preserve">ageant et en créant une culture </w:t>
      </w:r>
      <w:r w:rsidRPr="00514FA6">
        <w:rPr>
          <w:rFonts w:eastAsia="Calibri"/>
          <w:b/>
          <w:bCs/>
          <w:color w:val="000000"/>
          <w:lang w:val="fr-FR"/>
        </w:rPr>
        <w:t>exempte</w:t>
      </w:r>
      <w:r w:rsidRPr="006F0F1B">
        <w:rPr>
          <w:rFonts w:eastAsia="Calibri"/>
          <w:b/>
          <w:bCs/>
          <w:color w:val="000000"/>
          <w:lang w:val="fr-FR"/>
        </w:rPr>
        <w:t xml:space="preserve"> de toute forme de discrimination </w:t>
      </w:r>
      <w:r w:rsidR="000529DC" w:rsidRPr="00273ABE">
        <w:rPr>
          <w:rFonts w:eastAsia="Calibri"/>
          <w:b/>
          <w:bCs/>
          <w:color w:val="000000"/>
          <w:lang w:val="fr-FR"/>
        </w:rPr>
        <w:t>à l’égard d</w:t>
      </w:r>
      <w:r w:rsidRPr="006F0F1B">
        <w:rPr>
          <w:rFonts w:eastAsia="Calibri"/>
          <w:b/>
          <w:bCs/>
          <w:color w:val="000000"/>
          <w:lang w:val="fr-FR"/>
        </w:rPr>
        <w:t xml:space="preserve">es </w:t>
      </w:r>
      <w:r w:rsidRPr="004A6CCF">
        <w:rPr>
          <w:rFonts w:eastAsia="Calibri"/>
          <w:b/>
          <w:bCs/>
          <w:color w:val="000000"/>
          <w:lang w:val="fr-FR"/>
        </w:rPr>
        <w:t>femmes</w:t>
      </w:r>
      <w:r w:rsidRPr="004A6CCF">
        <w:rPr>
          <w:rStyle w:val="FootnoteReference"/>
          <w:rFonts w:eastAsia="Calibri"/>
          <w:lang w:val="fr-FR"/>
        </w:rPr>
        <w:footnoteReference w:id="48"/>
      </w:r>
      <w:r w:rsidRPr="004A6CCF">
        <w:rPr>
          <w:rFonts w:eastAsia="Calibri"/>
          <w:b/>
          <w:bCs/>
          <w:color w:val="000000"/>
          <w:lang w:val="fr-FR"/>
        </w:rPr>
        <w:t>.</w:t>
      </w:r>
      <w:r w:rsidRPr="006F0F1B">
        <w:rPr>
          <w:rFonts w:eastAsia="Calibri"/>
          <w:b/>
          <w:bCs/>
          <w:color w:val="000000"/>
          <w:lang w:val="fr-FR"/>
        </w:rPr>
        <w:t xml:space="preserve"> </w:t>
      </w:r>
      <w:r w:rsidRPr="00ED069E">
        <w:rPr>
          <w:rFonts w:eastAsia="Calibri"/>
          <w:b/>
          <w:lang w:val="fr-FR"/>
        </w:rPr>
        <w:t>Une approche transformatrice de la situation des femmes et des filles dans la famille est</w:t>
      </w:r>
      <w:r w:rsidRPr="006F0F1B">
        <w:rPr>
          <w:rFonts w:eastAsia="Calibri"/>
          <w:b/>
          <w:lang w:val="fr-FR"/>
        </w:rPr>
        <w:t xml:space="preserve"> </w:t>
      </w:r>
      <w:r w:rsidRPr="006F0F1B">
        <w:rPr>
          <w:rFonts w:eastAsia="Calibri"/>
          <w:b/>
          <w:lang w:val="fr-FR"/>
        </w:rPr>
        <w:lastRenderedPageBreak/>
        <w:t xml:space="preserve">cruciale. Prendre conscience que les normes et les institutions laïques, religieuses, coutumières et autochtones </w:t>
      </w:r>
      <w:r w:rsidR="008C2F17">
        <w:rPr>
          <w:rFonts w:eastAsia="Calibri"/>
          <w:b/>
          <w:lang w:val="fr-FR"/>
        </w:rPr>
        <w:t>o</w:t>
      </w:r>
      <w:r w:rsidRPr="006F0F1B">
        <w:rPr>
          <w:rFonts w:eastAsia="Calibri"/>
          <w:b/>
          <w:lang w:val="fr-FR"/>
        </w:rPr>
        <w:t>nt toutes été imprégnées dans le passé</w:t>
      </w:r>
      <w:r w:rsidRPr="00ED069E">
        <w:rPr>
          <w:rFonts w:eastAsia="Calibri"/>
          <w:b/>
          <w:lang w:val="fr-FR"/>
        </w:rPr>
        <w:t xml:space="preserve"> </w:t>
      </w:r>
      <w:r w:rsidR="002B59A5">
        <w:rPr>
          <w:rFonts w:eastAsia="Calibri"/>
          <w:b/>
          <w:lang w:val="fr-FR"/>
        </w:rPr>
        <w:t>d’</w:t>
      </w:r>
      <w:r w:rsidRPr="00ED069E">
        <w:rPr>
          <w:rFonts w:eastAsia="Calibri"/>
          <w:b/>
          <w:lang w:val="fr-FR"/>
        </w:rPr>
        <w:t xml:space="preserve">un concept patriarcal familial, et que certains </w:t>
      </w:r>
      <w:r w:rsidR="003551BA" w:rsidRPr="006F0F1B">
        <w:rPr>
          <w:rFonts w:eastAsia="Calibri"/>
          <w:b/>
          <w:lang w:val="fr-FR"/>
        </w:rPr>
        <w:t>États</w:t>
      </w:r>
      <w:r w:rsidRPr="006F0F1B">
        <w:rPr>
          <w:rFonts w:eastAsia="Calibri"/>
          <w:b/>
          <w:lang w:val="fr-FR"/>
        </w:rPr>
        <w:t xml:space="preserve"> et groupes tentent, </w:t>
      </w:r>
      <w:r w:rsidR="008C2F17" w:rsidRPr="006F0F1B">
        <w:rPr>
          <w:rFonts w:eastAsia="Calibri"/>
          <w:b/>
          <w:lang w:val="fr-FR"/>
        </w:rPr>
        <w:t>aujourd’hui</w:t>
      </w:r>
      <w:r w:rsidR="008C2F17">
        <w:rPr>
          <w:rFonts w:eastAsia="Calibri"/>
          <w:b/>
          <w:lang w:val="fr-FR"/>
        </w:rPr>
        <w:t>,</w:t>
      </w:r>
      <w:r w:rsidR="008C2F17" w:rsidRPr="006F0F1B">
        <w:rPr>
          <w:rFonts w:eastAsia="Calibri"/>
          <w:b/>
          <w:lang w:val="fr-FR"/>
        </w:rPr>
        <w:t xml:space="preserve"> </w:t>
      </w:r>
      <w:r w:rsidRPr="006F0F1B">
        <w:rPr>
          <w:rFonts w:eastAsia="Calibri"/>
          <w:b/>
          <w:lang w:val="fr-FR"/>
        </w:rPr>
        <w:t xml:space="preserve">de façon rétrograde, de soumettre les femmes aux formes les </w:t>
      </w:r>
      <w:r w:rsidR="00907E9B" w:rsidRPr="006F0F1B">
        <w:rPr>
          <w:rFonts w:eastAsia="Calibri"/>
          <w:b/>
          <w:lang w:val="fr-FR"/>
        </w:rPr>
        <w:t xml:space="preserve">plus </w:t>
      </w:r>
      <w:r w:rsidRPr="006F0F1B">
        <w:rPr>
          <w:rFonts w:eastAsia="Calibri"/>
          <w:b/>
          <w:lang w:val="fr-FR"/>
        </w:rPr>
        <w:t>oppressives du patriarcat, notamment dans le contexte du fanatisme religieux, est nécessaire. Cette prise de conscience devrait être combinée avec la compréhension que la transition vers l</w:t>
      </w:r>
      <w:r w:rsidR="00BC7BEE">
        <w:rPr>
          <w:rFonts w:eastAsia="Calibri"/>
          <w:b/>
          <w:lang w:val="fr-FR"/>
        </w:rPr>
        <w:t>’</w:t>
      </w:r>
      <w:r w:rsidRPr="006F0F1B">
        <w:rPr>
          <w:rFonts w:eastAsia="Calibri"/>
          <w:b/>
          <w:lang w:val="fr-FR"/>
        </w:rPr>
        <w:t>égalité des femmes avec les hommes, et des filles avec les garçons</w:t>
      </w:r>
      <w:r w:rsidR="00250230">
        <w:rPr>
          <w:rFonts w:eastAsia="Calibri"/>
          <w:b/>
          <w:lang w:val="fr-FR"/>
        </w:rPr>
        <w:t>,</w:t>
      </w:r>
      <w:r w:rsidRPr="006F0F1B">
        <w:rPr>
          <w:rFonts w:eastAsia="Calibri"/>
          <w:b/>
          <w:lang w:val="fr-FR"/>
        </w:rPr>
        <w:t xml:space="preserve"> dans la culture et </w:t>
      </w:r>
      <w:r w:rsidR="008C2F17">
        <w:rPr>
          <w:rFonts w:eastAsia="Calibri"/>
          <w:b/>
          <w:lang w:val="fr-FR"/>
        </w:rPr>
        <w:t xml:space="preserve">dans </w:t>
      </w:r>
      <w:r w:rsidRPr="006F0F1B">
        <w:rPr>
          <w:rFonts w:eastAsia="Calibri"/>
          <w:b/>
          <w:lang w:val="fr-FR"/>
        </w:rPr>
        <w:t>la famille, est une condition préalable à une société décente.</w:t>
      </w:r>
    </w:p>
    <w:p w:rsidR="006879D2" w:rsidRPr="006F0F1B" w:rsidRDefault="006879D2" w:rsidP="00A27B94">
      <w:pPr>
        <w:pStyle w:val="SingleTxtG"/>
        <w:numPr>
          <w:ilvl w:val="0"/>
          <w:numId w:val="33"/>
        </w:numPr>
        <w:ind w:left="1134" w:firstLine="0"/>
        <w:rPr>
          <w:rFonts w:eastAsia="Calibri"/>
          <w:b/>
          <w:lang w:val="fr-FR"/>
        </w:rPr>
      </w:pPr>
      <w:r w:rsidRPr="006F0F1B">
        <w:rPr>
          <w:rFonts w:eastAsia="Calibri"/>
          <w:b/>
          <w:lang w:val="fr-FR"/>
        </w:rPr>
        <w:t>Le Groupe d</w:t>
      </w:r>
      <w:r w:rsidR="00736F92">
        <w:rPr>
          <w:rFonts w:eastAsia="Calibri"/>
          <w:b/>
          <w:lang w:val="fr-FR"/>
        </w:rPr>
        <w:t xml:space="preserve">e travail </w:t>
      </w:r>
      <w:r w:rsidRPr="006F0F1B">
        <w:rPr>
          <w:rFonts w:eastAsia="Calibri"/>
          <w:b/>
          <w:lang w:val="fr-FR"/>
        </w:rPr>
        <w:t xml:space="preserve">adresse les recommandations suivantes aux </w:t>
      </w:r>
      <w:r w:rsidR="003551BA" w:rsidRPr="00ED069E">
        <w:rPr>
          <w:rFonts w:eastAsia="Calibri"/>
          <w:b/>
          <w:lang w:val="fr-FR"/>
        </w:rPr>
        <w:t>États</w:t>
      </w:r>
      <w:r w:rsidRPr="006F0F1B">
        <w:rPr>
          <w:rFonts w:eastAsia="Calibri"/>
          <w:b/>
          <w:lang w:val="fr-FR"/>
        </w:rPr>
        <w:t>:</w:t>
      </w:r>
    </w:p>
    <w:p w:rsidR="006879D2" w:rsidRPr="006F0F1B" w:rsidRDefault="00814BCF" w:rsidP="006F0F1B">
      <w:pPr>
        <w:pStyle w:val="Bullet1G"/>
        <w:numPr>
          <w:ilvl w:val="0"/>
          <w:numId w:val="0"/>
        </w:numPr>
        <w:ind w:left="1134" w:firstLine="567"/>
        <w:rPr>
          <w:rFonts w:eastAsia="Calibri"/>
          <w:b/>
          <w:lang w:val="fr-FR"/>
        </w:rPr>
      </w:pPr>
      <w:r w:rsidRPr="006F0F1B">
        <w:rPr>
          <w:rFonts w:eastAsia="Calibri"/>
          <w:b/>
          <w:lang w:val="fr-FR"/>
        </w:rPr>
        <w:t>a)</w:t>
      </w:r>
      <w:r w:rsidRPr="006F0F1B">
        <w:rPr>
          <w:rFonts w:eastAsia="Calibri"/>
          <w:b/>
          <w:lang w:val="fr-FR"/>
        </w:rPr>
        <w:tab/>
      </w:r>
      <w:r w:rsidR="006879D2" w:rsidRPr="006F0F1B">
        <w:rPr>
          <w:rFonts w:eastAsia="Calibri"/>
          <w:b/>
          <w:lang w:val="fr-FR"/>
        </w:rPr>
        <w:t>Instaurer un cadre juridique national reconnaissant l’égalité entre les sexes dans la vie culturelle et familiale en conformité avec les normes régionales et internationales:</w:t>
      </w:r>
    </w:p>
    <w:p w:rsidR="006879D2" w:rsidRPr="006F0F1B" w:rsidRDefault="00814BCF" w:rsidP="00514FA6">
      <w:pPr>
        <w:pStyle w:val="Bullet2G"/>
        <w:numPr>
          <w:ilvl w:val="0"/>
          <w:numId w:val="0"/>
        </w:numPr>
        <w:ind w:left="1701"/>
        <w:rPr>
          <w:rFonts w:eastAsia="Calibri"/>
          <w:b/>
          <w:lang w:val="fr-FR"/>
        </w:rPr>
      </w:pPr>
      <w:r w:rsidRPr="006F0F1B">
        <w:rPr>
          <w:rFonts w:eastAsia="Calibri"/>
          <w:b/>
          <w:lang w:val="fr-FR"/>
        </w:rPr>
        <w:t>i)</w:t>
      </w:r>
      <w:r w:rsidRPr="006F0F1B">
        <w:rPr>
          <w:rFonts w:eastAsia="Calibri"/>
          <w:b/>
          <w:lang w:val="fr-FR"/>
        </w:rPr>
        <w:tab/>
      </w:r>
      <w:r w:rsidR="006879D2" w:rsidRPr="006F0F1B">
        <w:rPr>
          <w:rFonts w:eastAsia="Calibri"/>
          <w:b/>
          <w:lang w:val="fr-FR"/>
        </w:rPr>
        <w:t>Reconna</w:t>
      </w:r>
      <w:r w:rsidR="00905BBE">
        <w:rPr>
          <w:rFonts w:eastAsia="Calibri"/>
          <w:b/>
          <w:lang w:val="fr-FR"/>
        </w:rPr>
        <w:t>î</w:t>
      </w:r>
      <w:r w:rsidR="006879D2" w:rsidRPr="006F0F1B">
        <w:rPr>
          <w:rFonts w:eastAsia="Calibri"/>
          <w:b/>
          <w:lang w:val="fr-FR"/>
        </w:rPr>
        <w:t>tre et consacrer le droit à l’égalité au</w:t>
      </w:r>
      <w:r w:rsidR="00962988">
        <w:rPr>
          <w:rFonts w:eastAsia="Calibri"/>
          <w:b/>
          <w:lang w:val="fr-FR"/>
        </w:rPr>
        <w:t>x</w:t>
      </w:r>
      <w:r w:rsidR="006879D2" w:rsidRPr="006F0F1B">
        <w:rPr>
          <w:rFonts w:eastAsia="Calibri"/>
          <w:b/>
          <w:lang w:val="fr-FR"/>
        </w:rPr>
        <w:t xml:space="preserve"> niveau</w:t>
      </w:r>
      <w:r w:rsidR="00962988">
        <w:rPr>
          <w:rFonts w:eastAsia="Calibri"/>
          <w:b/>
          <w:lang w:val="fr-FR"/>
        </w:rPr>
        <w:t>x</w:t>
      </w:r>
      <w:r w:rsidR="006879D2" w:rsidRPr="006F0F1B">
        <w:rPr>
          <w:rFonts w:eastAsia="Calibri"/>
          <w:b/>
          <w:lang w:val="fr-FR"/>
        </w:rPr>
        <w:t xml:space="preserve"> constitutionnel et législatif, qui s’appliquerait à tous les domaines de la vie et aurait la primauté sur toute loi, norme, code ou règlement issu du droit religieux, coutumier ou autochtone</w:t>
      </w:r>
      <w:r w:rsidR="00514FA6">
        <w:rPr>
          <w:rFonts w:eastAsia="Calibri"/>
          <w:b/>
          <w:lang w:val="fr-FR"/>
        </w:rPr>
        <w:t xml:space="preserve">, </w:t>
      </w:r>
      <w:r w:rsidR="00514FA6" w:rsidRPr="006D2349">
        <w:rPr>
          <w:rFonts w:eastAsia="Calibri"/>
          <w:b/>
          <w:lang w:val="fr-FR"/>
        </w:rPr>
        <w:t>sans possibilité d’</w:t>
      </w:r>
      <w:r w:rsidR="006879D2" w:rsidRPr="006D2349">
        <w:rPr>
          <w:rFonts w:eastAsia="Calibri"/>
          <w:b/>
          <w:lang w:val="fr-FR"/>
        </w:rPr>
        <w:t>exemption</w:t>
      </w:r>
      <w:r w:rsidR="00514FA6" w:rsidRPr="006D2349">
        <w:rPr>
          <w:rFonts w:eastAsia="Calibri"/>
          <w:b/>
          <w:lang w:val="fr-FR"/>
        </w:rPr>
        <w:t>, de dérogation ou de</w:t>
      </w:r>
      <w:r w:rsidR="006879D2" w:rsidRPr="006D2349">
        <w:rPr>
          <w:rFonts w:eastAsia="Calibri"/>
          <w:b/>
          <w:lang w:val="fr-FR"/>
        </w:rPr>
        <w:t xml:space="preserve"> contournement</w:t>
      </w:r>
      <w:r w:rsidR="000C6BF1" w:rsidRPr="006D2349">
        <w:rPr>
          <w:rFonts w:eastAsia="Calibri"/>
          <w:b/>
          <w:lang w:val="fr-FR"/>
        </w:rPr>
        <w:t>;</w:t>
      </w:r>
    </w:p>
    <w:p w:rsidR="006879D2" w:rsidRPr="006F0F1B" w:rsidRDefault="006D6CD4" w:rsidP="003B4CD6">
      <w:pPr>
        <w:pStyle w:val="Bullet2G"/>
        <w:numPr>
          <w:ilvl w:val="0"/>
          <w:numId w:val="0"/>
        </w:numPr>
        <w:ind w:left="1701"/>
        <w:rPr>
          <w:rFonts w:eastAsia="Calibri"/>
          <w:b/>
          <w:lang w:val="fr-FR"/>
        </w:rPr>
      </w:pPr>
      <w:r w:rsidRPr="006F0F1B">
        <w:rPr>
          <w:rFonts w:eastAsia="Calibri"/>
          <w:b/>
          <w:lang w:val="fr-FR"/>
        </w:rPr>
        <w:t>ii)</w:t>
      </w:r>
      <w:r w:rsidRPr="006F0F1B">
        <w:rPr>
          <w:rFonts w:eastAsia="Calibri"/>
          <w:b/>
          <w:lang w:val="fr-FR"/>
        </w:rPr>
        <w:tab/>
      </w:r>
      <w:r w:rsidR="006879D2" w:rsidRPr="006F0F1B">
        <w:rPr>
          <w:rFonts w:eastAsia="Calibri"/>
          <w:b/>
          <w:lang w:val="fr-FR"/>
        </w:rPr>
        <w:t xml:space="preserve">Promouvoir l’accès, la participation et la contribution des femmes à tous les aspects de la vie culturelle, y compris dans la définition, la création et l’interprétation des normes et pratiques culturelles et religieuses, à l’aide de ressources égales, de mesures et de politiques spéciales, </w:t>
      </w:r>
      <w:r w:rsidR="003B4CD6">
        <w:rPr>
          <w:rFonts w:eastAsia="Calibri"/>
          <w:b/>
          <w:lang w:val="fr-FR"/>
        </w:rPr>
        <w:t xml:space="preserve">et </w:t>
      </w:r>
      <w:r w:rsidR="006879D2" w:rsidRPr="003B4CD6">
        <w:rPr>
          <w:rFonts w:eastAsia="Calibri"/>
          <w:b/>
          <w:lang w:val="fr-FR"/>
        </w:rPr>
        <w:t>en facilitant</w:t>
      </w:r>
      <w:r w:rsidR="006879D2" w:rsidRPr="006F0F1B">
        <w:rPr>
          <w:rFonts w:eastAsia="Calibri"/>
          <w:b/>
          <w:lang w:val="fr-FR"/>
        </w:rPr>
        <w:t xml:space="preserve"> l’accès à des postes de prise de décision et aux processus d</w:t>
      </w:r>
      <w:r w:rsidR="00BC7BEE">
        <w:rPr>
          <w:rFonts w:eastAsia="Calibri"/>
          <w:b/>
          <w:lang w:val="fr-FR"/>
        </w:rPr>
        <w:t>’</w:t>
      </w:r>
      <w:r w:rsidR="006879D2" w:rsidRPr="006F0F1B">
        <w:rPr>
          <w:rFonts w:eastAsia="Calibri"/>
          <w:b/>
          <w:lang w:val="fr-FR"/>
        </w:rPr>
        <w:t>élaboration des politiques, à tous les niveaux</w:t>
      </w:r>
      <w:r w:rsidR="000C6BF1">
        <w:rPr>
          <w:rFonts w:eastAsia="Calibri"/>
          <w:b/>
          <w:lang w:val="fr-FR"/>
        </w:rPr>
        <w:t>;</w:t>
      </w:r>
    </w:p>
    <w:p w:rsidR="006879D2" w:rsidRPr="006F0F1B" w:rsidRDefault="006D6CD4" w:rsidP="000529DC">
      <w:pPr>
        <w:pStyle w:val="Bullet2G"/>
        <w:numPr>
          <w:ilvl w:val="0"/>
          <w:numId w:val="0"/>
        </w:numPr>
        <w:ind w:left="1701"/>
        <w:rPr>
          <w:rFonts w:eastAsia="Calibri"/>
          <w:b/>
          <w:lang w:val="fr-FR"/>
        </w:rPr>
      </w:pPr>
      <w:r w:rsidRPr="006F0F1B">
        <w:rPr>
          <w:rFonts w:eastAsia="Calibri"/>
          <w:b/>
          <w:lang w:val="fr-FR"/>
        </w:rPr>
        <w:t>iii)</w:t>
      </w:r>
      <w:r w:rsidRPr="006F0F1B">
        <w:rPr>
          <w:rFonts w:eastAsia="Calibri"/>
          <w:b/>
          <w:lang w:val="fr-FR"/>
        </w:rPr>
        <w:tab/>
      </w:r>
      <w:r w:rsidR="003551BA" w:rsidRPr="00ED069E">
        <w:rPr>
          <w:rFonts w:eastAsia="Calibri"/>
          <w:b/>
          <w:lang w:val="fr-FR"/>
        </w:rPr>
        <w:t>Élaborer</w:t>
      </w:r>
      <w:r w:rsidR="006879D2" w:rsidRPr="006F0F1B">
        <w:rPr>
          <w:rFonts w:eastAsia="Calibri"/>
          <w:b/>
          <w:lang w:val="fr-FR"/>
        </w:rPr>
        <w:t xml:space="preserve"> des stratégies nationales pour éradiquer les pratiques culturelles discriminatoires </w:t>
      </w:r>
      <w:r w:rsidR="000529DC" w:rsidRPr="00273ABE">
        <w:rPr>
          <w:rFonts w:eastAsia="Calibri"/>
          <w:b/>
          <w:lang w:val="fr-FR"/>
        </w:rPr>
        <w:t>à l’égard d</w:t>
      </w:r>
      <w:r w:rsidR="006879D2" w:rsidRPr="006F0F1B">
        <w:rPr>
          <w:rFonts w:eastAsia="Calibri"/>
          <w:b/>
          <w:lang w:val="fr-FR"/>
        </w:rPr>
        <w:t xml:space="preserve">es femmes et </w:t>
      </w:r>
      <w:r w:rsidR="000529DC">
        <w:rPr>
          <w:rFonts w:eastAsia="Calibri"/>
          <w:b/>
          <w:lang w:val="fr-FR"/>
        </w:rPr>
        <w:t>d</w:t>
      </w:r>
      <w:r w:rsidR="006879D2" w:rsidRPr="006F0F1B">
        <w:rPr>
          <w:rFonts w:eastAsia="Calibri"/>
          <w:b/>
          <w:lang w:val="fr-FR"/>
        </w:rPr>
        <w:t xml:space="preserve">es filles et les stéréotypes de genre, au moyen de campagnes de sensibilisation, de programmes éducatifs et informatifs, </w:t>
      </w:r>
      <w:r w:rsidR="0066171C">
        <w:rPr>
          <w:rFonts w:eastAsia="Calibri"/>
          <w:b/>
          <w:lang w:val="fr-FR"/>
        </w:rPr>
        <w:t xml:space="preserve">et </w:t>
      </w:r>
      <w:r w:rsidR="006879D2" w:rsidRPr="006F0F1B">
        <w:rPr>
          <w:rFonts w:eastAsia="Calibri"/>
          <w:b/>
          <w:lang w:val="fr-FR"/>
        </w:rPr>
        <w:t>de la mobilisation de la part des parties prenantes. Sensibiliser les hommes à s’investir dans les efforts de prévention et de protection de la discrimination et de la violence sexistes lorsque cela est approprié</w:t>
      </w:r>
      <w:r w:rsidR="000C6BF1">
        <w:rPr>
          <w:rFonts w:eastAsia="Calibri"/>
          <w:b/>
          <w:lang w:val="fr-FR"/>
        </w:rPr>
        <w:t>;</w:t>
      </w:r>
    </w:p>
    <w:p w:rsidR="006879D2" w:rsidRPr="006F0F1B" w:rsidRDefault="006D6CD4" w:rsidP="00514FA6">
      <w:pPr>
        <w:pStyle w:val="Bullet2G"/>
        <w:numPr>
          <w:ilvl w:val="0"/>
          <w:numId w:val="0"/>
        </w:numPr>
        <w:ind w:left="1701"/>
        <w:rPr>
          <w:rFonts w:eastAsia="Calibri"/>
          <w:b/>
          <w:lang w:val="fr-FR"/>
        </w:rPr>
      </w:pPr>
      <w:r w:rsidRPr="006F0F1B">
        <w:rPr>
          <w:rFonts w:eastAsia="Calibri"/>
          <w:b/>
          <w:color w:val="000000"/>
          <w:lang w:val="fr-FR"/>
        </w:rPr>
        <w:t>iv)</w:t>
      </w:r>
      <w:r w:rsidRPr="006F0F1B">
        <w:rPr>
          <w:rFonts w:eastAsia="Calibri"/>
          <w:b/>
          <w:color w:val="000000"/>
          <w:lang w:val="fr-FR"/>
        </w:rPr>
        <w:tab/>
      </w:r>
      <w:r w:rsidR="003551BA" w:rsidRPr="00ED069E">
        <w:rPr>
          <w:rFonts w:eastAsia="Calibri"/>
          <w:b/>
          <w:color w:val="000000"/>
          <w:lang w:val="fr-FR"/>
        </w:rPr>
        <w:t>Élaborer</w:t>
      </w:r>
      <w:r w:rsidR="006879D2" w:rsidRPr="006F0F1B">
        <w:rPr>
          <w:rFonts w:eastAsia="Calibri"/>
          <w:b/>
          <w:color w:val="000000"/>
          <w:lang w:val="fr-FR"/>
        </w:rPr>
        <w:t xml:space="preserve"> des mécanismes </w:t>
      </w:r>
      <w:r w:rsidR="00514FA6" w:rsidRPr="006D2349">
        <w:rPr>
          <w:rFonts w:eastAsia="Calibri"/>
          <w:b/>
          <w:color w:val="000000"/>
          <w:lang w:val="fr-FR"/>
        </w:rPr>
        <w:t xml:space="preserve">efficaces </w:t>
      </w:r>
      <w:r w:rsidR="006879D2" w:rsidRPr="006D2349">
        <w:rPr>
          <w:rFonts w:eastAsia="Calibri"/>
          <w:b/>
          <w:color w:val="000000"/>
          <w:lang w:val="fr-FR"/>
        </w:rPr>
        <w:t>p</w:t>
      </w:r>
      <w:r w:rsidR="006879D2" w:rsidRPr="006F0F1B">
        <w:rPr>
          <w:rFonts w:eastAsia="Calibri"/>
          <w:b/>
          <w:color w:val="000000"/>
          <w:lang w:val="fr-FR"/>
        </w:rPr>
        <w:t>our lutter contre les formes multiples et convergentes de discrimination subies par toutes les femmes marginalisées, y</w:t>
      </w:r>
      <w:r w:rsidR="0066171C">
        <w:rPr>
          <w:rFonts w:eastAsia="Calibri"/>
          <w:b/>
          <w:color w:val="000000"/>
          <w:lang w:val="fr-FR"/>
        </w:rPr>
        <w:t> </w:t>
      </w:r>
      <w:r w:rsidR="006879D2" w:rsidRPr="006F0F1B">
        <w:rPr>
          <w:rFonts w:eastAsia="Calibri"/>
          <w:b/>
          <w:color w:val="000000"/>
          <w:lang w:val="fr-FR"/>
        </w:rPr>
        <w:t xml:space="preserve">compris les femmes issues des minorités, les femmes vivant dans la pauvreté, les femmes handicapées, </w:t>
      </w:r>
      <w:r w:rsidR="006879D2" w:rsidRPr="00F23C89">
        <w:rPr>
          <w:rFonts w:eastAsia="Calibri"/>
          <w:b/>
          <w:color w:val="000000"/>
          <w:lang w:val="fr-FR"/>
        </w:rPr>
        <w:t>les femmes réfugiées et déplacées, les femmes migrantes et immigrées, les femmes rurales,</w:t>
      </w:r>
      <w:r w:rsidR="006879D2" w:rsidRPr="006F0F1B">
        <w:rPr>
          <w:rFonts w:eastAsia="Calibri"/>
          <w:b/>
          <w:color w:val="000000"/>
          <w:lang w:val="fr-FR"/>
        </w:rPr>
        <w:t xml:space="preserve"> les femmes autochtones, les femmes âgées et les femmes célibataires</w:t>
      </w:r>
      <w:r w:rsidR="00CF1049">
        <w:rPr>
          <w:rFonts w:eastAsia="Calibri"/>
          <w:b/>
          <w:color w:val="000000"/>
          <w:lang w:val="fr-FR"/>
        </w:rPr>
        <w:t>;</w:t>
      </w:r>
    </w:p>
    <w:p w:rsidR="006879D2" w:rsidRPr="006F0F1B" w:rsidRDefault="00814BCF" w:rsidP="006F0F1B">
      <w:pPr>
        <w:pStyle w:val="Bullet1G"/>
        <w:numPr>
          <w:ilvl w:val="0"/>
          <w:numId w:val="0"/>
        </w:numPr>
        <w:ind w:left="1134" w:firstLine="567"/>
        <w:rPr>
          <w:rFonts w:eastAsia="Calibri"/>
          <w:b/>
          <w:lang w:val="fr-FR"/>
        </w:rPr>
      </w:pPr>
      <w:r w:rsidRPr="006F0F1B">
        <w:rPr>
          <w:rFonts w:eastAsia="Calibri"/>
          <w:b/>
          <w:lang w:val="fr-FR"/>
        </w:rPr>
        <w:t>b)</w:t>
      </w:r>
      <w:r w:rsidRPr="006F0F1B">
        <w:rPr>
          <w:rFonts w:eastAsia="Calibri"/>
          <w:b/>
          <w:lang w:val="fr-FR"/>
        </w:rPr>
        <w:tab/>
      </w:r>
      <w:r w:rsidR="006879D2" w:rsidRPr="006F0F1B">
        <w:rPr>
          <w:rFonts w:eastAsia="Calibri"/>
          <w:b/>
          <w:lang w:val="fr-FR"/>
        </w:rPr>
        <w:t>Promouvoir une culture libre de toute discrimination:</w:t>
      </w:r>
    </w:p>
    <w:p w:rsidR="006879D2" w:rsidRPr="006F0F1B" w:rsidRDefault="006D6CD4" w:rsidP="000529DC">
      <w:pPr>
        <w:pStyle w:val="Bullet2G"/>
        <w:numPr>
          <w:ilvl w:val="0"/>
          <w:numId w:val="0"/>
        </w:numPr>
        <w:ind w:left="1701"/>
        <w:rPr>
          <w:rFonts w:eastAsia="Calibri"/>
          <w:b/>
          <w:lang w:val="fr-FR"/>
        </w:rPr>
      </w:pPr>
      <w:r w:rsidRPr="006F0F1B">
        <w:rPr>
          <w:rFonts w:eastAsia="Calibri"/>
          <w:b/>
          <w:lang w:val="fr-FR"/>
        </w:rPr>
        <w:t>i)</w:t>
      </w:r>
      <w:r w:rsidRPr="006F0F1B">
        <w:rPr>
          <w:rFonts w:eastAsia="Calibri"/>
          <w:b/>
          <w:lang w:val="fr-FR"/>
        </w:rPr>
        <w:tab/>
      </w:r>
      <w:r w:rsidR="006879D2" w:rsidRPr="006F0F1B">
        <w:rPr>
          <w:rFonts w:eastAsia="Calibri"/>
          <w:b/>
          <w:lang w:val="fr-FR"/>
        </w:rPr>
        <w:t xml:space="preserve">Développer un organe exécutif qui applique le cadre de diligence raisonnable </w:t>
      </w:r>
      <w:r w:rsidR="00907E9B" w:rsidRPr="006F0F1B">
        <w:rPr>
          <w:rFonts w:eastAsia="Calibri"/>
          <w:b/>
          <w:lang w:val="fr-FR"/>
        </w:rPr>
        <w:t>(</w:t>
      </w:r>
      <w:r w:rsidR="006879D2" w:rsidRPr="006F0F1B">
        <w:rPr>
          <w:rFonts w:eastAsia="Calibri"/>
          <w:b/>
          <w:lang w:val="fr-FR"/>
        </w:rPr>
        <w:t>prévention, protection, poursuite</w:t>
      </w:r>
      <w:r w:rsidR="00907E9B" w:rsidRPr="006F0F1B">
        <w:rPr>
          <w:rFonts w:eastAsia="Calibri"/>
          <w:b/>
          <w:lang w:val="fr-FR"/>
        </w:rPr>
        <w:t>s</w:t>
      </w:r>
      <w:r w:rsidR="006879D2" w:rsidRPr="006F0F1B">
        <w:rPr>
          <w:rFonts w:eastAsia="Calibri"/>
          <w:b/>
          <w:lang w:val="fr-FR"/>
        </w:rPr>
        <w:t xml:space="preserve"> judiciaire</w:t>
      </w:r>
      <w:r w:rsidR="00907E9B" w:rsidRPr="006F0F1B">
        <w:rPr>
          <w:rFonts w:eastAsia="Calibri"/>
          <w:b/>
          <w:lang w:val="fr-FR"/>
        </w:rPr>
        <w:t>s</w:t>
      </w:r>
      <w:r w:rsidR="006879D2" w:rsidRPr="006F0F1B">
        <w:rPr>
          <w:rFonts w:eastAsia="Calibri"/>
          <w:b/>
          <w:lang w:val="fr-FR"/>
        </w:rPr>
        <w:t>, sanction</w:t>
      </w:r>
      <w:r w:rsidR="00907E9B" w:rsidRPr="006F0F1B">
        <w:rPr>
          <w:rFonts w:eastAsia="Calibri"/>
          <w:b/>
          <w:lang w:val="fr-FR"/>
        </w:rPr>
        <w:t xml:space="preserve">, </w:t>
      </w:r>
      <w:r w:rsidR="006879D2" w:rsidRPr="006F0F1B">
        <w:rPr>
          <w:rFonts w:eastAsia="Calibri"/>
          <w:b/>
          <w:lang w:val="fr-FR"/>
        </w:rPr>
        <w:t>réparation</w:t>
      </w:r>
      <w:r w:rsidR="00907E9B" w:rsidRPr="006F0F1B">
        <w:rPr>
          <w:rFonts w:eastAsia="Calibri"/>
          <w:b/>
          <w:lang w:val="fr-FR"/>
        </w:rPr>
        <w:t>)</w:t>
      </w:r>
      <w:r w:rsidR="006879D2" w:rsidRPr="006F0F1B">
        <w:rPr>
          <w:rFonts w:eastAsia="Calibri"/>
          <w:b/>
          <w:lang w:val="fr-FR"/>
        </w:rPr>
        <w:t xml:space="preserve">, en abordant toutes les formes de discrimination </w:t>
      </w:r>
      <w:r w:rsidR="000529DC">
        <w:rPr>
          <w:rFonts w:eastAsia="Calibri"/>
          <w:b/>
          <w:lang w:val="fr-FR"/>
        </w:rPr>
        <w:t>à l’égard d</w:t>
      </w:r>
      <w:r w:rsidR="006879D2" w:rsidRPr="006F0F1B">
        <w:rPr>
          <w:rFonts w:eastAsia="Calibri"/>
          <w:b/>
          <w:lang w:val="fr-FR"/>
        </w:rPr>
        <w:t>es femmes dans la vie culturelle et familiale, y compris par des acteurs non étatiques</w:t>
      </w:r>
      <w:r w:rsidR="000C6BF1">
        <w:rPr>
          <w:rFonts w:eastAsia="Calibri"/>
          <w:b/>
          <w:lang w:val="fr-FR"/>
        </w:rPr>
        <w:t>;</w:t>
      </w:r>
    </w:p>
    <w:p w:rsidR="006879D2" w:rsidRPr="006F0F1B" w:rsidRDefault="006D6CD4" w:rsidP="00514FA6">
      <w:pPr>
        <w:pStyle w:val="Bullet2G"/>
        <w:numPr>
          <w:ilvl w:val="0"/>
          <w:numId w:val="0"/>
        </w:numPr>
        <w:ind w:left="1701"/>
        <w:rPr>
          <w:rFonts w:eastAsia="Calibri"/>
          <w:b/>
          <w:lang w:val="fr-FR"/>
        </w:rPr>
      </w:pPr>
      <w:r w:rsidRPr="006F0F1B">
        <w:rPr>
          <w:rFonts w:eastAsia="Calibri"/>
          <w:b/>
          <w:lang w:val="fr-FR"/>
        </w:rPr>
        <w:t>ii)</w:t>
      </w:r>
      <w:r w:rsidRPr="006F0F1B">
        <w:rPr>
          <w:rFonts w:eastAsia="Calibri"/>
          <w:b/>
          <w:lang w:val="fr-FR"/>
        </w:rPr>
        <w:tab/>
      </w:r>
      <w:r w:rsidR="006879D2" w:rsidRPr="006F0F1B">
        <w:rPr>
          <w:rFonts w:eastAsia="Calibri"/>
          <w:b/>
          <w:lang w:val="fr-FR"/>
        </w:rPr>
        <w:t xml:space="preserve">Rejeter toute pratique culturelle ou </w:t>
      </w:r>
      <w:r w:rsidR="006879D2" w:rsidRPr="006D2349">
        <w:rPr>
          <w:rFonts w:eastAsia="Calibri"/>
          <w:b/>
          <w:lang w:val="fr-FR"/>
        </w:rPr>
        <w:t>religieuse contr</w:t>
      </w:r>
      <w:r w:rsidR="00514FA6" w:rsidRPr="00273ABE">
        <w:rPr>
          <w:rFonts w:eastAsia="Calibri"/>
          <w:b/>
          <w:lang w:val="fr-FR"/>
        </w:rPr>
        <w:t xml:space="preserve">evenant </w:t>
      </w:r>
      <w:r w:rsidR="006879D2" w:rsidRPr="006F0F1B">
        <w:rPr>
          <w:rFonts w:eastAsia="Calibri"/>
          <w:b/>
          <w:lang w:val="fr-FR"/>
        </w:rPr>
        <w:t>aux droits de l’homme et à l’égalité, et empêchant la formation d’une société égalitaire et sans discrimination fondée sur le genre</w:t>
      </w:r>
      <w:r w:rsidR="000C6BF1">
        <w:rPr>
          <w:rFonts w:eastAsia="Calibri"/>
          <w:b/>
          <w:lang w:val="fr-FR"/>
        </w:rPr>
        <w:t>;</w:t>
      </w:r>
    </w:p>
    <w:p w:rsidR="006879D2" w:rsidRPr="006F0F1B" w:rsidRDefault="006D6CD4" w:rsidP="00951256">
      <w:pPr>
        <w:pStyle w:val="Bullet2G"/>
        <w:numPr>
          <w:ilvl w:val="0"/>
          <w:numId w:val="0"/>
        </w:numPr>
        <w:ind w:left="1701"/>
        <w:rPr>
          <w:rFonts w:eastAsia="Calibri"/>
          <w:b/>
          <w:lang w:val="fr-FR"/>
        </w:rPr>
      </w:pPr>
      <w:r w:rsidRPr="006F0F1B">
        <w:rPr>
          <w:rFonts w:eastAsia="Calibri"/>
          <w:b/>
          <w:lang w:val="fr-FR"/>
        </w:rPr>
        <w:t>iii)</w:t>
      </w:r>
      <w:r w:rsidRPr="006F0F1B">
        <w:rPr>
          <w:rFonts w:eastAsia="Calibri"/>
          <w:b/>
          <w:lang w:val="fr-FR"/>
        </w:rPr>
        <w:tab/>
      </w:r>
      <w:r w:rsidR="006879D2" w:rsidRPr="006F0F1B">
        <w:rPr>
          <w:rFonts w:eastAsia="Calibri"/>
          <w:b/>
          <w:lang w:val="fr-FR"/>
        </w:rPr>
        <w:t>Prendre des sanctions contre les institutions, les agents étatiques et les acteurs non</w:t>
      </w:r>
      <w:r w:rsidR="0066171C">
        <w:rPr>
          <w:rFonts w:eastAsia="Calibri"/>
          <w:b/>
          <w:lang w:val="fr-FR"/>
        </w:rPr>
        <w:t xml:space="preserve"> </w:t>
      </w:r>
      <w:r w:rsidR="006879D2" w:rsidRPr="006F0F1B">
        <w:rPr>
          <w:rFonts w:eastAsia="Calibri"/>
          <w:b/>
          <w:lang w:val="fr-FR"/>
        </w:rPr>
        <w:t>étatiques dont les actions menacent les droits des femmes, y</w:t>
      </w:r>
      <w:r w:rsidR="0066171C">
        <w:rPr>
          <w:rFonts w:eastAsia="Calibri"/>
          <w:b/>
          <w:lang w:val="fr-FR"/>
        </w:rPr>
        <w:t> </w:t>
      </w:r>
      <w:r w:rsidR="006879D2" w:rsidRPr="006F0F1B">
        <w:rPr>
          <w:rFonts w:eastAsia="Calibri"/>
          <w:b/>
          <w:lang w:val="fr-FR"/>
        </w:rPr>
        <w:t xml:space="preserve">compris si ces actions sont motivées par la préservation de la culture et </w:t>
      </w:r>
      <w:r w:rsidR="006A5AA5">
        <w:rPr>
          <w:rFonts w:eastAsia="Calibri"/>
          <w:b/>
          <w:lang w:val="fr-FR"/>
        </w:rPr>
        <w:t xml:space="preserve">de </w:t>
      </w:r>
      <w:r w:rsidR="006879D2" w:rsidRPr="006F0F1B">
        <w:rPr>
          <w:rFonts w:eastAsia="Calibri"/>
          <w:b/>
          <w:lang w:val="fr-FR"/>
        </w:rPr>
        <w:t>la religion</w:t>
      </w:r>
      <w:r w:rsidR="00CF1049">
        <w:rPr>
          <w:rFonts w:eastAsia="Calibri"/>
          <w:b/>
          <w:lang w:val="fr-FR"/>
        </w:rPr>
        <w:t>;</w:t>
      </w:r>
    </w:p>
    <w:p w:rsidR="006879D2" w:rsidRPr="006F0F1B" w:rsidRDefault="00814BCF" w:rsidP="006F0F1B">
      <w:pPr>
        <w:pStyle w:val="Bullet1G"/>
        <w:numPr>
          <w:ilvl w:val="0"/>
          <w:numId w:val="0"/>
        </w:numPr>
        <w:ind w:left="1134" w:firstLine="567"/>
        <w:rPr>
          <w:rFonts w:eastAsia="Calibri"/>
          <w:b/>
          <w:lang w:val="fr-FR"/>
        </w:rPr>
      </w:pPr>
      <w:r w:rsidRPr="006F0F1B">
        <w:rPr>
          <w:rFonts w:eastAsia="Calibri"/>
          <w:b/>
          <w:lang w:val="fr-FR"/>
        </w:rPr>
        <w:lastRenderedPageBreak/>
        <w:t>c)</w:t>
      </w:r>
      <w:r w:rsidRPr="006F0F1B">
        <w:rPr>
          <w:rFonts w:eastAsia="Calibri"/>
          <w:b/>
          <w:lang w:val="fr-FR"/>
        </w:rPr>
        <w:tab/>
      </w:r>
      <w:r w:rsidR="006879D2" w:rsidRPr="006F0F1B">
        <w:rPr>
          <w:rFonts w:eastAsia="Calibri"/>
          <w:b/>
          <w:lang w:val="fr-FR"/>
        </w:rPr>
        <w:t xml:space="preserve">Garantir le droit à l’égalité des femmes </w:t>
      </w:r>
      <w:r w:rsidR="006879D2" w:rsidRPr="00273ABE">
        <w:rPr>
          <w:rFonts w:eastAsia="Calibri"/>
          <w:b/>
          <w:i/>
          <w:iCs/>
          <w:lang w:val="fr-FR"/>
        </w:rPr>
        <w:t>de jure</w:t>
      </w:r>
      <w:r w:rsidR="006879D2" w:rsidRPr="006F0F1B">
        <w:rPr>
          <w:rFonts w:eastAsia="Calibri"/>
          <w:b/>
          <w:lang w:val="fr-FR"/>
        </w:rPr>
        <w:t xml:space="preserve"> et de facto dans la diversité familiale:</w:t>
      </w:r>
    </w:p>
    <w:p w:rsidR="006879D2" w:rsidRPr="006F0F1B" w:rsidRDefault="006D6CD4" w:rsidP="004575B5">
      <w:pPr>
        <w:pStyle w:val="Bullet2G"/>
        <w:numPr>
          <w:ilvl w:val="0"/>
          <w:numId w:val="0"/>
        </w:numPr>
        <w:ind w:left="1701"/>
        <w:rPr>
          <w:rFonts w:eastAsia="Calibri"/>
          <w:b/>
          <w:lang w:val="fr-FR"/>
        </w:rPr>
      </w:pPr>
      <w:r w:rsidRPr="006F0F1B">
        <w:rPr>
          <w:rFonts w:eastAsia="Calibri"/>
          <w:b/>
          <w:lang w:val="fr-FR"/>
        </w:rPr>
        <w:t>i)</w:t>
      </w:r>
      <w:r w:rsidRPr="006F0F1B">
        <w:rPr>
          <w:rFonts w:eastAsia="Calibri"/>
          <w:b/>
          <w:lang w:val="fr-FR"/>
        </w:rPr>
        <w:tab/>
      </w:r>
      <w:r w:rsidR="006879D2" w:rsidRPr="006F0F1B">
        <w:rPr>
          <w:rFonts w:eastAsia="Calibri"/>
          <w:b/>
          <w:lang w:val="fr-FR"/>
        </w:rPr>
        <w:t>Reconna</w:t>
      </w:r>
      <w:r w:rsidR="00905BBE">
        <w:rPr>
          <w:rFonts w:eastAsia="Calibri"/>
          <w:b/>
          <w:lang w:val="fr-FR"/>
        </w:rPr>
        <w:t>î</w:t>
      </w:r>
      <w:r w:rsidR="006879D2" w:rsidRPr="006F0F1B">
        <w:rPr>
          <w:rFonts w:eastAsia="Calibri"/>
          <w:b/>
          <w:lang w:val="fr-FR"/>
        </w:rPr>
        <w:t xml:space="preserve">tre et protéger </w:t>
      </w:r>
      <w:r w:rsidR="0066171C" w:rsidRPr="006F0F1B">
        <w:rPr>
          <w:rFonts w:eastAsia="Calibri"/>
          <w:b/>
          <w:lang w:val="fr-FR"/>
        </w:rPr>
        <w:t>aux niveaux constitutionnel et législatif</w:t>
      </w:r>
      <w:r w:rsidR="0066171C">
        <w:rPr>
          <w:rFonts w:eastAsia="Calibri"/>
          <w:b/>
          <w:lang w:val="fr-FR"/>
        </w:rPr>
        <w:t xml:space="preserve"> </w:t>
      </w:r>
      <w:r w:rsidR="006879D2" w:rsidRPr="006F0F1B">
        <w:rPr>
          <w:rFonts w:eastAsia="Calibri"/>
          <w:b/>
          <w:lang w:val="fr-FR"/>
        </w:rPr>
        <w:t xml:space="preserve">toutes </w:t>
      </w:r>
      <w:r w:rsidR="006879D2" w:rsidRPr="00F23C89">
        <w:rPr>
          <w:rFonts w:eastAsia="Calibri"/>
          <w:b/>
          <w:lang w:val="fr-FR"/>
        </w:rPr>
        <w:t>les formes de famille</w:t>
      </w:r>
      <w:r w:rsidR="006879D2" w:rsidRPr="006F0F1B">
        <w:rPr>
          <w:rFonts w:eastAsia="Calibri"/>
          <w:b/>
          <w:lang w:val="fr-FR"/>
        </w:rPr>
        <w:t xml:space="preserve">, </w:t>
      </w:r>
      <w:r w:rsidR="0028253A">
        <w:rPr>
          <w:rFonts w:eastAsia="Calibri"/>
          <w:b/>
          <w:lang w:val="fr-FR"/>
        </w:rPr>
        <w:t xml:space="preserve">et </w:t>
      </w:r>
      <w:r w:rsidR="006879D2" w:rsidRPr="006F0F1B">
        <w:rPr>
          <w:rFonts w:eastAsia="Calibri"/>
          <w:b/>
          <w:lang w:val="fr-FR"/>
        </w:rPr>
        <w:t xml:space="preserve">affirmer et protéger le droit à l’égalité des femmes et des filles dans cette diversité familiale, en adoptant et en mettant en place des mesures appropriées pour protéger les femmes </w:t>
      </w:r>
      <w:r w:rsidR="00D473F5">
        <w:rPr>
          <w:rFonts w:eastAsia="Calibri"/>
          <w:b/>
          <w:lang w:val="fr-FR"/>
        </w:rPr>
        <w:t xml:space="preserve">contre </w:t>
      </w:r>
      <w:r w:rsidR="006879D2" w:rsidRPr="006F0F1B">
        <w:rPr>
          <w:rFonts w:eastAsia="Calibri"/>
          <w:b/>
          <w:lang w:val="fr-FR"/>
        </w:rPr>
        <w:t>l’exploitation et la discrimination dans ces familles, notamment les femmes vivant dans des situations vulnérables</w:t>
      </w:r>
      <w:r w:rsidR="000C6BF1">
        <w:rPr>
          <w:rFonts w:eastAsia="Calibri"/>
          <w:b/>
          <w:lang w:val="fr-FR"/>
        </w:rPr>
        <w:t>;</w:t>
      </w:r>
    </w:p>
    <w:p w:rsidR="006879D2" w:rsidRPr="006F0F1B" w:rsidRDefault="006D6CD4" w:rsidP="00951256">
      <w:pPr>
        <w:pStyle w:val="Bullet2G"/>
        <w:numPr>
          <w:ilvl w:val="0"/>
          <w:numId w:val="0"/>
        </w:numPr>
        <w:ind w:left="1701"/>
        <w:rPr>
          <w:rFonts w:eastAsia="Calibri"/>
          <w:b/>
          <w:lang w:val="fr-FR"/>
        </w:rPr>
      </w:pPr>
      <w:r w:rsidRPr="006F0F1B">
        <w:rPr>
          <w:rFonts w:eastAsia="Calibri"/>
          <w:b/>
          <w:lang w:val="fr-FR"/>
        </w:rPr>
        <w:t>ii)</w:t>
      </w:r>
      <w:r w:rsidRPr="006F0F1B">
        <w:rPr>
          <w:rFonts w:eastAsia="Calibri"/>
          <w:b/>
          <w:lang w:val="fr-FR"/>
        </w:rPr>
        <w:tab/>
      </w:r>
      <w:r w:rsidR="003551BA" w:rsidRPr="00ED069E">
        <w:rPr>
          <w:rFonts w:eastAsia="Calibri"/>
          <w:b/>
          <w:lang w:val="fr-FR"/>
        </w:rPr>
        <w:t>Éliminer</w:t>
      </w:r>
      <w:r w:rsidR="006879D2" w:rsidRPr="006F0F1B">
        <w:rPr>
          <w:rFonts w:eastAsia="Calibri"/>
          <w:b/>
          <w:lang w:val="fr-FR"/>
        </w:rPr>
        <w:t xml:space="preserve"> dans la loi et la pratique toutes les formes de mariage limitant et/ou niant les droits, le bien-être et la dignité des femmes et des filles, y</w:t>
      </w:r>
      <w:r w:rsidR="0066171C">
        <w:rPr>
          <w:rFonts w:eastAsia="Calibri"/>
          <w:b/>
          <w:lang w:val="fr-FR"/>
        </w:rPr>
        <w:t> </w:t>
      </w:r>
      <w:r w:rsidR="006879D2" w:rsidRPr="006F0F1B">
        <w:rPr>
          <w:rFonts w:eastAsia="Calibri"/>
          <w:b/>
          <w:lang w:val="fr-FR"/>
        </w:rPr>
        <w:t>compris les mariages précoces et/ou forcés, les mariages polygames et les mariages temporaires</w:t>
      </w:r>
      <w:r w:rsidR="000C6BF1">
        <w:rPr>
          <w:rFonts w:eastAsia="Calibri"/>
          <w:b/>
          <w:lang w:val="fr-FR"/>
        </w:rPr>
        <w:t>;</w:t>
      </w:r>
    </w:p>
    <w:p w:rsidR="006879D2" w:rsidRPr="00ED069E" w:rsidRDefault="006D6CD4" w:rsidP="00161D01">
      <w:pPr>
        <w:pStyle w:val="Bullet2G"/>
        <w:numPr>
          <w:ilvl w:val="0"/>
          <w:numId w:val="0"/>
        </w:numPr>
        <w:ind w:left="1701"/>
        <w:rPr>
          <w:rFonts w:eastAsia="Calibri"/>
          <w:b/>
          <w:lang w:val="fr-FR"/>
        </w:rPr>
      </w:pPr>
      <w:r w:rsidRPr="006F0F1B">
        <w:rPr>
          <w:rFonts w:eastAsia="Calibri"/>
          <w:b/>
          <w:lang w:val="fr-FR"/>
        </w:rPr>
        <w:t>iii)</w:t>
      </w:r>
      <w:r w:rsidRPr="006F0F1B">
        <w:rPr>
          <w:rFonts w:eastAsia="Calibri"/>
          <w:b/>
          <w:lang w:val="fr-FR"/>
        </w:rPr>
        <w:tab/>
      </w:r>
      <w:r w:rsidR="003551BA" w:rsidRPr="00ED069E">
        <w:rPr>
          <w:rFonts w:eastAsia="Calibri"/>
          <w:b/>
          <w:lang w:val="fr-FR"/>
        </w:rPr>
        <w:t>Établir</w:t>
      </w:r>
      <w:r w:rsidR="006879D2" w:rsidRPr="006F0F1B">
        <w:rPr>
          <w:rFonts w:eastAsia="Calibri"/>
          <w:b/>
          <w:lang w:val="fr-FR"/>
        </w:rPr>
        <w:t xml:space="preserve"> des solutions, recours et réparations adaptés au respect des droits et au bien-être des femmes et des filles vivant dans les formes de </w:t>
      </w:r>
      <w:r w:rsidR="006879D2" w:rsidRPr="00F23C89">
        <w:rPr>
          <w:rFonts w:eastAsia="Calibri"/>
          <w:b/>
          <w:lang w:val="fr-FR"/>
        </w:rPr>
        <w:t>mariage</w:t>
      </w:r>
      <w:r w:rsidR="006879D2" w:rsidRPr="006F0F1B">
        <w:rPr>
          <w:rFonts w:eastAsia="Calibri"/>
          <w:b/>
          <w:lang w:val="fr-FR"/>
        </w:rPr>
        <w:t xml:space="preserve"> susmentionné</w:t>
      </w:r>
      <w:r w:rsidR="006A5AA5">
        <w:rPr>
          <w:rFonts w:eastAsia="Calibri"/>
          <w:b/>
          <w:lang w:val="fr-FR"/>
        </w:rPr>
        <w:t>e</w:t>
      </w:r>
      <w:r w:rsidR="006879D2" w:rsidRPr="006F0F1B">
        <w:rPr>
          <w:rFonts w:eastAsia="Calibri"/>
          <w:b/>
          <w:lang w:val="fr-FR"/>
        </w:rPr>
        <w:t>s, y compris la possibilité de sortir de ces mariages avec leur part des biens matrimoniaux, la garde de leurs enfants et le droit de se remarier</w:t>
      </w:r>
      <w:r w:rsidR="000C6BF1">
        <w:rPr>
          <w:rFonts w:eastAsia="Calibri"/>
          <w:b/>
          <w:lang w:val="fr-FR"/>
        </w:rPr>
        <w:t>;</w:t>
      </w:r>
    </w:p>
    <w:p w:rsidR="006879D2" w:rsidRPr="006F0F1B" w:rsidRDefault="006D6CD4" w:rsidP="00951256">
      <w:pPr>
        <w:pStyle w:val="Bullet2G"/>
        <w:numPr>
          <w:ilvl w:val="0"/>
          <w:numId w:val="0"/>
        </w:numPr>
        <w:ind w:left="1701"/>
        <w:rPr>
          <w:rFonts w:eastAsia="Calibri"/>
          <w:b/>
          <w:lang w:val="fr-FR"/>
        </w:rPr>
      </w:pPr>
      <w:r w:rsidRPr="006F0F1B">
        <w:rPr>
          <w:rFonts w:eastAsia="Calibri"/>
          <w:b/>
          <w:lang w:val="fr-FR"/>
        </w:rPr>
        <w:t>iv)</w:t>
      </w:r>
      <w:r w:rsidRPr="006F0F1B">
        <w:rPr>
          <w:rFonts w:eastAsia="Calibri"/>
          <w:b/>
          <w:lang w:val="fr-FR"/>
        </w:rPr>
        <w:tab/>
      </w:r>
      <w:r w:rsidR="003551BA" w:rsidRPr="006F0F1B">
        <w:rPr>
          <w:rFonts w:eastAsia="Calibri"/>
          <w:b/>
          <w:lang w:val="fr-FR"/>
        </w:rPr>
        <w:t>Éliminer</w:t>
      </w:r>
      <w:r w:rsidR="006879D2" w:rsidRPr="006F0F1B">
        <w:rPr>
          <w:rFonts w:eastAsia="Calibri"/>
          <w:b/>
          <w:lang w:val="fr-FR"/>
        </w:rPr>
        <w:t xml:space="preserve"> toutes les lois ou pratiques qui limitent les droits et les chances des veuves et des femmes divorcées par rapport aux veufs et aux hommes divorcés </w:t>
      </w:r>
      <w:r w:rsidR="0066171C">
        <w:rPr>
          <w:rFonts w:eastAsia="Calibri"/>
          <w:b/>
          <w:lang w:val="fr-FR"/>
        </w:rPr>
        <w:t xml:space="preserve">de </w:t>
      </w:r>
      <w:r w:rsidR="006879D2" w:rsidRPr="006F0F1B">
        <w:rPr>
          <w:rFonts w:eastAsia="Calibri"/>
          <w:b/>
          <w:lang w:val="fr-FR"/>
        </w:rPr>
        <w:t xml:space="preserve">se remarier, travailler, avoir la tutelle ou la garde de leurs enfants, </w:t>
      </w:r>
      <w:r w:rsidR="0066171C">
        <w:rPr>
          <w:rFonts w:eastAsia="Calibri"/>
          <w:b/>
          <w:lang w:val="fr-FR"/>
        </w:rPr>
        <w:t xml:space="preserve">et </w:t>
      </w:r>
      <w:r w:rsidR="006879D2" w:rsidRPr="006F0F1B">
        <w:rPr>
          <w:rFonts w:eastAsia="Calibri"/>
          <w:b/>
          <w:lang w:val="fr-FR"/>
        </w:rPr>
        <w:t>posséder la maison, les biens et la terre de la famille</w:t>
      </w:r>
      <w:r w:rsidR="000C6BF1">
        <w:rPr>
          <w:rFonts w:eastAsia="Calibri"/>
          <w:b/>
          <w:lang w:val="fr-FR"/>
        </w:rPr>
        <w:t>;</w:t>
      </w:r>
    </w:p>
    <w:p w:rsidR="006879D2" w:rsidRPr="006F0F1B" w:rsidRDefault="006D6CD4" w:rsidP="006F0F1B">
      <w:pPr>
        <w:pStyle w:val="Bullet2G"/>
        <w:numPr>
          <w:ilvl w:val="0"/>
          <w:numId w:val="0"/>
        </w:numPr>
        <w:ind w:left="1701"/>
        <w:rPr>
          <w:rFonts w:eastAsia="Calibri"/>
          <w:b/>
          <w:lang w:val="fr-FR"/>
        </w:rPr>
      </w:pPr>
      <w:r w:rsidRPr="006F0F1B">
        <w:rPr>
          <w:rFonts w:eastAsia="Calibri"/>
          <w:b/>
          <w:lang w:val="fr-FR"/>
        </w:rPr>
        <w:t>v)</w:t>
      </w:r>
      <w:r w:rsidRPr="006F0F1B">
        <w:rPr>
          <w:rFonts w:eastAsia="Calibri"/>
          <w:b/>
          <w:lang w:val="fr-FR"/>
        </w:rPr>
        <w:tab/>
      </w:r>
      <w:r w:rsidR="006879D2" w:rsidRPr="006F0F1B">
        <w:rPr>
          <w:rFonts w:eastAsia="Calibri"/>
          <w:b/>
          <w:lang w:val="fr-FR"/>
        </w:rPr>
        <w:t>Abroger toutes les lois soutenant l’oppression patriarcale des femmes dans les familles, comme les lois qui excluent le viol conjugal de la responsabilité pénale pour viol, les lois prévoyant un pardon pour les violeurs épousant leur victime, et les lois criminalisant l’adultère</w:t>
      </w:r>
      <w:r w:rsidR="000C6BF1">
        <w:rPr>
          <w:rFonts w:eastAsia="Calibri"/>
          <w:b/>
          <w:lang w:val="fr-FR"/>
        </w:rPr>
        <w:t>;</w:t>
      </w:r>
    </w:p>
    <w:p w:rsidR="006879D2" w:rsidRPr="006F0F1B" w:rsidRDefault="006D6CD4" w:rsidP="006F0F1B">
      <w:pPr>
        <w:pStyle w:val="Bullet2G"/>
        <w:numPr>
          <w:ilvl w:val="0"/>
          <w:numId w:val="0"/>
        </w:numPr>
        <w:ind w:left="1701"/>
        <w:rPr>
          <w:rFonts w:eastAsia="Calibri"/>
          <w:b/>
          <w:lang w:val="fr-FR"/>
        </w:rPr>
      </w:pPr>
      <w:r w:rsidRPr="006F0F1B">
        <w:rPr>
          <w:rFonts w:eastAsia="Calibri"/>
          <w:b/>
          <w:lang w:val="fr-FR"/>
        </w:rPr>
        <w:t>vi)</w:t>
      </w:r>
      <w:r w:rsidRPr="006F0F1B">
        <w:rPr>
          <w:rFonts w:eastAsia="Calibri"/>
          <w:b/>
          <w:lang w:val="fr-FR"/>
        </w:rPr>
        <w:tab/>
      </w:r>
      <w:r w:rsidR="006879D2" w:rsidRPr="006F0F1B">
        <w:rPr>
          <w:rFonts w:eastAsia="Calibri"/>
          <w:b/>
          <w:lang w:val="fr-FR"/>
        </w:rPr>
        <w:t xml:space="preserve">Interdire et punir la violence domestique, y compris l’inceste et le viol conjugal, et fournir des mesures pour la protection des femmes et des filles victimes de cette violence, </w:t>
      </w:r>
      <w:r w:rsidR="006879D2" w:rsidRPr="00F23C89">
        <w:rPr>
          <w:rFonts w:eastAsia="Calibri"/>
          <w:b/>
          <w:lang w:val="fr-FR"/>
        </w:rPr>
        <w:t xml:space="preserve">comme </w:t>
      </w:r>
      <w:r w:rsidR="00275B1C" w:rsidRPr="00F23C89">
        <w:rPr>
          <w:rFonts w:eastAsia="Calibri"/>
          <w:b/>
          <w:lang w:val="fr-FR"/>
        </w:rPr>
        <w:t>d</w:t>
      </w:r>
      <w:r w:rsidR="006879D2" w:rsidRPr="00F23C89">
        <w:rPr>
          <w:rFonts w:eastAsia="Calibri"/>
          <w:b/>
          <w:lang w:val="fr-FR"/>
        </w:rPr>
        <w:t>es ordonnances</w:t>
      </w:r>
      <w:r w:rsidR="006879D2" w:rsidRPr="006F0F1B">
        <w:rPr>
          <w:rFonts w:eastAsia="Calibri"/>
          <w:b/>
          <w:lang w:val="fr-FR"/>
        </w:rPr>
        <w:t xml:space="preserve"> de protection et la création de centres d’accueil</w:t>
      </w:r>
      <w:r w:rsidR="000C6BF1">
        <w:rPr>
          <w:rFonts w:eastAsia="Calibri"/>
          <w:b/>
          <w:lang w:val="fr-FR"/>
        </w:rPr>
        <w:t>;</w:t>
      </w:r>
    </w:p>
    <w:p w:rsidR="006879D2" w:rsidRPr="006F0F1B" w:rsidRDefault="006D6CD4" w:rsidP="00723CCE">
      <w:pPr>
        <w:pStyle w:val="Bullet2G"/>
        <w:numPr>
          <w:ilvl w:val="0"/>
          <w:numId w:val="0"/>
        </w:numPr>
        <w:ind w:left="1701"/>
        <w:rPr>
          <w:rFonts w:eastAsia="Calibri"/>
          <w:b/>
          <w:lang w:val="fr-FR"/>
        </w:rPr>
      </w:pPr>
      <w:r w:rsidRPr="006F0F1B">
        <w:rPr>
          <w:rFonts w:eastAsia="Calibri"/>
          <w:b/>
          <w:lang w:val="fr-FR"/>
        </w:rPr>
        <w:t>vii)</w:t>
      </w:r>
      <w:r w:rsidRPr="006F0F1B">
        <w:rPr>
          <w:rFonts w:eastAsia="Calibri"/>
          <w:b/>
          <w:lang w:val="fr-FR"/>
        </w:rPr>
        <w:tab/>
      </w:r>
      <w:r w:rsidR="006879D2" w:rsidRPr="006F0F1B">
        <w:rPr>
          <w:rFonts w:eastAsia="Calibri"/>
          <w:b/>
          <w:lang w:val="fr-FR"/>
        </w:rPr>
        <w:t xml:space="preserve">Respecter, protéger, remplir et promouvoir le droit à l’égalité des sexes dans la famille dans les différents modes de </w:t>
      </w:r>
      <w:r w:rsidR="006879D2" w:rsidRPr="00DA64F5">
        <w:rPr>
          <w:rFonts w:eastAsia="Calibri"/>
          <w:b/>
          <w:lang w:val="fr-FR"/>
        </w:rPr>
        <w:t>régulation – les systèmes de droit familial sécul</w:t>
      </w:r>
      <w:r w:rsidR="00723CCE">
        <w:rPr>
          <w:rFonts w:eastAsia="Calibri"/>
          <w:b/>
          <w:lang w:val="fr-FR"/>
        </w:rPr>
        <w:t>ier</w:t>
      </w:r>
      <w:r w:rsidR="00250230" w:rsidRPr="00273ABE">
        <w:rPr>
          <w:rFonts w:eastAsia="Calibri"/>
          <w:b/>
          <w:lang w:val="fr-FR"/>
        </w:rPr>
        <w:t>,</w:t>
      </w:r>
      <w:r w:rsidR="006879D2" w:rsidRPr="00DA64F5">
        <w:rPr>
          <w:rFonts w:eastAsia="Calibri"/>
          <w:b/>
          <w:lang w:val="fr-FR"/>
        </w:rPr>
        <w:t xml:space="preserve"> les systèmes de droit familial religieux imposé par l’</w:t>
      </w:r>
      <w:r w:rsidR="005B0E15" w:rsidRPr="00E32163">
        <w:rPr>
          <w:rFonts w:eastAsia="Calibri"/>
          <w:b/>
          <w:lang w:val="fr-FR"/>
        </w:rPr>
        <w:t>État</w:t>
      </w:r>
      <w:r w:rsidR="00250230" w:rsidRPr="00273ABE">
        <w:rPr>
          <w:rFonts w:eastAsia="Calibri"/>
          <w:b/>
          <w:lang w:val="fr-FR"/>
        </w:rPr>
        <w:t>,</w:t>
      </w:r>
      <w:r w:rsidR="006879D2" w:rsidRPr="00DA64F5">
        <w:rPr>
          <w:rFonts w:eastAsia="Calibri"/>
          <w:b/>
          <w:lang w:val="fr-FR"/>
        </w:rPr>
        <w:t xml:space="preserve"> et les systèmes juridiques pluralistes</w:t>
      </w:r>
      <w:r w:rsidR="006879D2" w:rsidRPr="00E32163">
        <w:rPr>
          <w:rFonts w:eastAsia="Calibri"/>
          <w:b/>
          <w:lang w:val="fr-FR"/>
        </w:rPr>
        <w:t>.</w:t>
      </w:r>
      <w:r w:rsidR="006879D2" w:rsidRPr="006F0F1B">
        <w:rPr>
          <w:rFonts w:eastAsia="Calibri"/>
          <w:b/>
          <w:lang w:val="fr-FR"/>
        </w:rPr>
        <w:t xml:space="preserve"> L’adoption d’un code de la famille ou de lois relatives au statut personnel exemptés de toute référence à la culture et à la religion est favorisée</w:t>
      </w:r>
      <w:r w:rsidR="000C6BF1">
        <w:rPr>
          <w:rFonts w:eastAsia="Calibri"/>
          <w:b/>
          <w:color w:val="000000"/>
          <w:lang w:val="fr-FR"/>
        </w:rPr>
        <w:t>;</w:t>
      </w:r>
    </w:p>
    <w:p w:rsidR="006879D2" w:rsidRPr="006F0F1B" w:rsidRDefault="006D6CD4" w:rsidP="00A27B94">
      <w:pPr>
        <w:pStyle w:val="Bullet2G"/>
        <w:numPr>
          <w:ilvl w:val="0"/>
          <w:numId w:val="0"/>
        </w:numPr>
        <w:ind w:left="1701"/>
        <w:rPr>
          <w:rFonts w:eastAsia="Calibri"/>
          <w:b/>
          <w:lang w:val="fr-FR"/>
        </w:rPr>
      </w:pPr>
      <w:r w:rsidRPr="006F0F1B">
        <w:rPr>
          <w:rFonts w:eastAsia="Calibri"/>
          <w:b/>
          <w:lang w:val="fr-FR"/>
        </w:rPr>
        <w:t>viii)</w:t>
      </w:r>
      <w:r w:rsidRPr="006F0F1B">
        <w:rPr>
          <w:rFonts w:eastAsia="Calibri"/>
          <w:b/>
          <w:lang w:val="fr-FR"/>
        </w:rPr>
        <w:tab/>
      </w:r>
      <w:r w:rsidR="006879D2" w:rsidRPr="006F0F1B">
        <w:rPr>
          <w:rFonts w:eastAsia="Calibri"/>
          <w:b/>
          <w:lang w:val="fr-FR"/>
        </w:rPr>
        <w:t>Dans les contextes nationaux où plusieurs systèmes juridiques coexistent, établir et appliquer des mécanismes nationaux pour assurer la mise en œuvre effective des garanties d</w:t>
      </w:r>
      <w:r w:rsidR="00BC7BEE">
        <w:rPr>
          <w:rFonts w:eastAsia="Calibri"/>
          <w:b/>
          <w:lang w:val="fr-FR"/>
        </w:rPr>
        <w:t>’</w:t>
      </w:r>
      <w:r w:rsidR="006879D2" w:rsidRPr="006F0F1B">
        <w:rPr>
          <w:rFonts w:eastAsia="Calibri"/>
          <w:b/>
          <w:lang w:val="fr-FR"/>
        </w:rPr>
        <w:t xml:space="preserve">égalité et de non-discrimination entre les hommes et les femmes dans tous les domaines et à tous les niveaux, y compris en offrant la possibilité aux femmes, spécialement </w:t>
      </w:r>
      <w:r w:rsidR="006879D2" w:rsidRPr="00F23C89">
        <w:rPr>
          <w:rFonts w:eastAsia="Calibri"/>
          <w:b/>
          <w:lang w:val="fr-FR"/>
        </w:rPr>
        <w:t>les femmes rurales</w:t>
      </w:r>
      <w:r w:rsidR="006879D2" w:rsidRPr="006F0F1B">
        <w:rPr>
          <w:rFonts w:eastAsia="Calibri"/>
          <w:b/>
          <w:lang w:val="fr-FR"/>
        </w:rPr>
        <w:t xml:space="preserve"> et autochtones</w:t>
      </w:r>
      <w:r w:rsidR="00F23C89">
        <w:rPr>
          <w:rFonts w:eastAsia="Calibri"/>
          <w:b/>
          <w:lang w:val="fr-FR"/>
        </w:rPr>
        <w:t>,</w:t>
      </w:r>
      <w:r w:rsidR="006879D2" w:rsidRPr="006F0F1B">
        <w:rPr>
          <w:rFonts w:eastAsia="Calibri"/>
          <w:b/>
          <w:lang w:val="fr-FR"/>
        </w:rPr>
        <w:t xml:space="preserve"> de se </w:t>
      </w:r>
      <w:r w:rsidR="006879D2" w:rsidRPr="00250230">
        <w:rPr>
          <w:rFonts w:eastAsia="Calibri"/>
          <w:b/>
          <w:lang w:val="fr-FR"/>
        </w:rPr>
        <w:t>désengager</w:t>
      </w:r>
      <w:r w:rsidR="006879D2" w:rsidRPr="006F0F1B">
        <w:rPr>
          <w:rFonts w:eastAsia="Calibri"/>
          <w:b/>
          <w:lang w:val="fr-FR"/>
        </w:rPr>
        <w:t xml:space="preserve"> de l</w:t>
      </w:r>
      <w:r w:rsidR="00BC7BEE">
        <w:rPr>
          <w:rFonts w:eastAsia="Calibri"/>
          <w:b/>
          <w:lang w:val="fr-FR"/>
        </w:rPr>
        <w:t>’</w:t>
      </w:r>
      <w:r w:rsidR="006879D2" w:rsidRPr="006F0F1B">
        <w:rPr>
          <w:rFonts w:eastAsia="Calibri"/>
          <w:b/>
          <w:lang w:val="fr-FR"/>
        </w:rPr>
        <w:t xml:space="preserve">arbitrage et de la juridiction des institutions coutumières. Mettre en conformité les systèmes </w:t>
      </w:r>
      <w:r w:rsidR="006879D2" w:rsidRPr="00500AB3">
        <w:rPr>
          <w:rFonts w:eastAsia="Calibri"/>
          <w:b/>
          <w:lang w:val="fr-FR"/>
        </w:rPr>
        <w:t>parallèles de</w:t>
      </w:r>
      <w:r w:rsidR="006879D2" w:rsidRPr="006F0F1B">
        <w:rPr>
          <w:rFonts w:eastAsia="Calibri"/>
          <w:b/>
          <w:lang w:val="fr-FR"/>
        </w:rPr>
        <w:t xml:space="preserve"> droit coutumier, religieux ou autochtone avec le </w:t>
      </w:r>
      <w:r w:rsidR="00161EB5" w:rsidRPr="00273ABE">
        <w:rPr>
          <w:rFonts w:eastAsia="Calibri"/>
          <w:b/>
          <w:lang w:val="fr-FR"/>
        </w:rPr>
        <w:t>droit international relatif aux droits de l’homme</w:t>
      </w:r>
      <w:r w:rsidR="006879D2" w:rsidRPr="006F0F1B">
        <w:rPr>
          <w:rFonts w:eastAsia="Calibri"/>
          <w:b/>
          <w:lang w:val="fr-FR"/>
        </w:rPr>
        <w:t xml:space="preserve">, et notamment l’égalité des sexes, tout en reconnaissant l’importance de la richesse et de la diversité de la culture et des traditions. </w:t>
      </w:r>
      <w:r w:rsidR="006879D2" w:rsidRPr="00ED069E">
        <w:rPr>
          <w:rFonts w:eastAsia="Calibri"/>
          <w:b/>
          <w:lang w:val="fr-FR"/>
        </w:rPr>
        <w:t>Permettre aux femmes un droit de recours devant les tribunaux de l</w:t>
      </w:r>
      <w:r w:rsidR="00BC7BEE">
        <w:rPr>
          <w:rFonts w:eastAsia="Calibri"/>
          <w:b/>
          <w:lang w:val="fr-FR"/>
        </w:rPr>
        <w:t>’</w:t>
      </w:r>
      <w:r w:rsidR="003551BA" w:rsidRPr="006F0F1B">
        <w:rPr>
          <w:rFonts w:eastAsia="Calibri"/>
          <w:b/>
          <w:lang w:val="fr-FR"/>
        </w:rPr>
        <w:t>État</w:t>
      </w:r>
      <w:r w:rsidR="006879D2" w:rsidRPr="006F0F1B">
        <w:rPr>
          <w:rFonts w:eastAsia="Calibri"/>
          <w:b/>
          <w:lang w:val="fr-FR"/>
        </w:rPr>
        <w:t xml:space="preserve"> contre les décisions des autorités religieuses, coutumières ou autochtones, formelles ou informelles, qui ont violé leur droit à l</w:t>
      </w:r>
      <w:r w:rsidR="00BC7BEE">
        <w:rPr>
          <w:rFonts w:eastAsia="Calibri"/>
          <w:b/>
          <w:lang w:val="fr-FR"/>
        </w:rPr>
        <w:t>’</w:t>
      </w:r>
      <w:r w:rsidR="006879D2" w:rsidRPr="006F0F1B">
        <w:rPr>
          <w:rFonts w:eastAsia="Calibri"/>
          <w:b/>
          <w:lang w:val="fr-FR"/>
        </w:rPr>
        <w:t>égalité</w:t>
      </w:r>
      <w:r w:rsidR="000C6BF1">
        <w:rPr>
          <w:rFonts w:eastAsia="Calibri"/>
          <w:b/>
          <w:lang w:val="fr-FR"/>
        </w:rPr>
        <w:t>;</w:t>
      </w:r>
    </w:p>
    <w:p w:rsidR="006879D2" w:rsidRPr="006F0F1B" w:rsidRDefault="006D6CD4" w:rsidP="00250230">
      <w:pPr>
        <w:pStyle w:val="Bullet2G"/>
        <w:numPr>
          <w:ilvl w:val="0"/>
          <w:numId w:val="0"/>
        </w:numPr>
        <w:ind w:left="1701"/>
        <w:rPr>
          <w:rFonts w:eastAsia="Calibri"/>
          <w:b/>
          <w:lang w:val="fr-FR"/>
        </w:rPr>
      </w:pPr>
      <w:r w:rsidRPr="006F0F1B">
        <w:rPr>
          <w:rFonts w:eastAsia="Calibri"/>
          <w:b/>
          <w:lang w:val="fr-FR"/>
        </w:rPr>
        <w:t>ix)</w:t>
      </w:r>
      <w:r w:rsidRPr="006F0F1B">
        <w:rPr>
          <w:rFonts w:eastAsia="Calibri"/>
          <w:b/>
          <w:lang w:val="fr-FR"/>
        </w:rPr>
        <w:tab/>
      </w:r>
      <w:r w:rsidR="006879D2" w:rsidRPr="006F0F1B">
        <w:rPr>
          <w:rFonts w:eastAsia="Calibri"/>
          <w:b/>
          <w:lang w:val="fr-FR"/>
        </w:rPr>
        <w:t xml:space="preserve">Rendre le système juridique étatique formel accessible à toutes les femmes, quel que soit leur statut social, </w:t>
      </w:r>
      <w:r w:rsidR="006879D2" w:rsidRPr="00F23C89">
        <w:rPr>
          <w:rFonts w:eastAsia="Calibri"/>
          <w:b/>
          <w:lang w:val="fr-FR"/>
        </w:rPr>
        <w:t>et combler</w:t>
      </w:r>
      <w:r w:rsidR="006879D2" w:rsidRPr="006F0F1B">
        <w:rPr>
          <w:rFonts w:eastAsia="Calibri"/>
          <w:b/>
          <w:lang w:val="fr-FR"/>
        </w:rPr>
        <w:t xml:space="preserve"> les d</w:t>
      </w:r>
      <w:r w:rsidR="00A21970">
        <w:rPr>
          <w:rFonts w:eastAsia="Calibri"/>
          <w:b/>
          <w:lang w:val="fr-FR"/>
        </w:rPr>
        <w:t>y</w:t>
      </w:r>
      <w:r w:rsidR="006879D2" w:rsidRPr="006F0F1B">
        <w:rPr>
          <w:rFonts w:eastAsia="Calibri"/>
          <w:b/>
          <w:lang w:val="fr-FR"/>
        </w:rPr>
        <w:t xml:space="preserve">sfonctionnements du </w:t>
      </w:r>
      <w:r w:rsidR="006879D2" w:rsidRPr="006F0F1B">
        <w:rPr>
          <w:rFonts w:eastAsia="Calibri"/>
          <w:b/>
          <w:lang w:val="fr-FR"/>
        </w:rPr>
        <w:lastRenderedPageBreak/>
        <w:t xml:space="preserve">système formel. </w:t>
      </w:r>
      <w:r w:rsidR="00250230">
        <w:rPr>
          <w:rFonts w:eastAsia="Calibri"/>
          <w:b/>
          <w:lang w:val="fr-FR"/>
        </w:rPr>
        <w:t>L</w:t>
      </w:r>
      <w:r w:rsidR="006879D2" w:rsidRPr="006F0F1B">
        <w:rPr>
          <w:rFonts w:eastAsia="Calibri"/>
          <w:b/>
          <w:lang w:val="fr-FR"/>
        </w:rPr>
        <w:t xml:space="preserve">a justice formelle </w:t>
      </w:r>
      <w:r w:rsidR="00250230">
        <w:rPr>
          <w:rFonts w:eastAsia="Calibri"/>
          <w:b/>
          <w:lang w:val="fr-FR"/>
        </w:rPr>
        <w:t xml:space="preserve">devrait être </w:t>
      </w:r>
      <w:r w:rsidR="006879D2" w:rsidRPr="006F0F1B">
        <w:rPr>
          <w:rFonts w:eastAsia="Calibri"/>
          <w:b/>
          <w:lang w:val="fr-FR"/>
        </w:rPr>
        <w:t>privilégiée à la justice informelle pour résoudre toute question relative à la famille, y compris de violence sexuelle ou de violence domestique</w:t>
      </w:r>
      <w:r w:rsidR="000C6BF1">
        <w:rPr>
          <w:rFonts w:eastAsia="Calibri"/>
          <w:b/>
          <w:lang w:val="fr-FR"/>
        </w:rPr>
        <w:t>;</w:t>
      </w:r>
    </w:p>
    <w:p w:rsidR="006879D2" w:rsidRPr="006F0F1B" w:rsidRDefault="006D6CD4" w:rsidP="00951256">
      <w:pPr>
        <w:pStyle w:val="Bullet2G"/>
        <w:numPr>
          <w:ilvl w:val="0"/>
          <w:numId w:val="0"/>
        </w:numPr>
        <w:ind w:left="1701"/>
        <w:rPr>
          <w:rFonts w:eastAsia="Calibri"/>
          <w:b/>
          <w:lang w:val="fr-FR"/>
        </w:rPr>
      </w:pPr>
      <w:r w:rsidRPr="006F0F1B">
        <w:rPr>
          <w:rFonts w:eastAsia="Calibri"/>
          <w:b/>
          <w:lang w:val="fr-FR"/>
        </w:rPr>
        <w:t>x)</w:t>
      </w:r>
      <w:r w:rsidRPr="006F0F1B">
        <w:rPr>
          <w:rFonts w:eastAsia="Calibri"/>
          <w:b/>
          <w:lang w:val="fr-FR"/>
        </w:rPr>
        <w:tab/>
      </w:r>
      <w:r w:rsidR="006879D2" w:rsidRPr="006F0F1B">
        <w:rPr>
          <w:rFonts w:eastAsia="Calibri"/>
          <w:b/>
          <w:lang w:val="fr-FR"/>
        </w:rPr>
        <w:t xml:space="preserve">Mettre en place des formations de sensibilisation au genre </w:t>
      </w:r>
      <w:r w:rsidR="00A21970">
        <w:rPr>
          <w:rFonts w:eastAsia="Calibri"/>
          <w:b/>
          <w:lang w:val="fr-FR"/>
        </w:rPr>
        <w:t xml:space="preserve">destinées </w:t>
      </w:r>
      <w:r w:rsidR="006879D2" w:rsidRPr="006F0F1B">
        <w:rPr>
          <w:rFonts w:eastAsia="Calibri"/>
          <w:b/>
          <w:lang w:val="fr-FR"/>
        </w:rPr>
        <w:t>à</w:t>
      </w:r>
      <w:r w:rsidR="006879D2" w:rsidRPr="00ED069E">
        <w:rPr>
          <w:rFonts w:eastAsia="Calibri"/>
          <w:b/>
          <w:lang w:val="fr-FR"/>
        </w:rPr>
        <w:t xml:space="preserve"> tous les fonctionnaires de l</w:t>
      </w:r>
      <w:r w:rsidR="00BC7BEE">
        <w:rPr>
          <w:rFonts w:eastAsia="Calibri"/>
          <w:b/>
          <w:lang w:val="fr-FR"/>
        </w:rPr>
        <w:t>’</w:t>
      </w:r>
      <w:r w:rsidR="003551BA" w:rsidRPr="006F0F1B">
        <w:rPr>
          <w:rFonts w:eastAsia="Calibri"/>
          <w:b/>
          <w:lang w:val="fr-FR"/>
        </w:rPr>
        <w:t>État</w:t>
      </w:r>
      <w:r w:rsidR="006879D2" w:rsidRPr="006F0F1B">
        <w:rPr>
          <w:rFonts w:eastAsia="Calibri"/>
          <w:b/>
          <w:lang w:val="fr-FR"/>
        </w:rPr>
        <w:t xml:space="preserve"> impliqués dans l</w:t>
      </w:r>
      <w:r w:rsidR="00BC7BEE">
        <w:rPr>
          <w:rFonts w:eastAsia="Calibri"/>
          <w:b/>
          <w:lang w:val="fr-FR"/>
        </w:rPr>
        <w:t>’</w:t>
      </w:r>
      <w:r w:rsidR="006879D2" w:rsidRPr="006F0F1B">
        <w:rPr>
          <w:rFonts w:eastAsia="Calibri"/>
          <w:b/>
          <w:lang w:val="fr-FR"/>
        </w:rPr>
        <w:t>éducation, la santé, les services sociaux, l</w:t>
      </w:r>
      <w:r w:rsidR="00BC7BEE">
        <w:rPr>
          <w:rFonts w:eastAsia="Calibri"/>
          <w:b/>
          <w:lang w:val="fr-FR"/>
        </w:rPr>
        <w:t>’</w:t>
      </w:r>
      <w:r w:rsidR="006879D2" w:rsidRPr="006F0F1B">
        <w:rPr>
          <w:rFonts w:eastAsia="Calibri"/>
          <w:b/>
          <w:lang w:val="fr-FR"/>
        </w:rPr>
        <w:t xml:space="preserve">application de la loi et les décisions judiciaires. Inclure </w:t>
      </w:r>
      <w:r w:rsidR="00275B1C" w:rsidRPr="006F0F1B">
        <w:rPr>
          <w:rFonts w:eastAsia="Calibri"/>
          <w:b/>
          <w:lang w:val="fr-FR"/>
        </w:rPr>
        <w:t>l</w:t>
      </w:r>
      <w:r w:rsidR="006879D2" w:rsidRPr="006F0F1B">
        <w:rPr>
          <w:rFonts w:eastAsia="Calibri"/>
          <w:b/>
          <w:lang w:val="fr-FR"/>
        </w:rPr>
        <w:t>es femmes, de manière égalitaire, dans tous les organes qui interprètent et appliquent le droit de la famille</w:t>
      </w:r>
      <w:r w:rsidR="00CF1049">
        <w:rPr>
          <w:rFonts w:eastAsia="Calibri"/>
          <w:b/>
          <w:lang w:val="fr-FR"/>
        </w:rPr>
        <w:t>;</w:t>
      </w:r>
    </w:p>
    <w:p w:rsidR="006879D2" w:rsidRPr="006F0F1B" w:rsidRDefault="00814BCF" w:rsidP="00514FA6">
      <w:pPr>
        <w:pStyle w:val="Bullet1G"/>
        <w:numPr>
          <w:ilvl w:val="0"/>
          <w:numId w:val="0"/>
        </w:numPr>
        <w:ind w:left="1134" w:firstLine="567"/>
        <w:rPr>
          <w:rFonts w:eastAsia="Calibri"/>
          <w:b/>
          <w:lang w:val="fr-FR"/>
        </w:rPr>
      </w:pPr>
      <w:r w:rsidRPr="006F0F1B">
        <w:rPr>
          <w:rFonts w:eastAsia="Calibri"/>
          <w:b/>
          <w:lang w:val="fr-FR"/>
        </w:rPr>
        <w:t>d)</w:t>
      </w:r>
      <w:r w:rsidRPr="006F0F1B">
        <w:rPr>
          <w:rFonts w:eastAsia="Calibri"/>
          <w:b/>
          <w:lang w:val="fr-FR"/>
        </w:rPr>
        <w:tab/>
      </w:r>
      <w:r w:rsidR="00514FA6">
        <w:rPr>
          <w:rFonts w:eastAsia="Calibri"/>
          <w:b/>
          <w:lang w:val="fr-FR"/>
        </w:rPr>
        <w:t xml:space="preserve">Selon </w:t>
      </w:r>
      <w:r w:rsidR="00DB306A" w:rsidRPr="00E32163">
        <w:rPr>
          <w:rFonts w:eastAsia="Calibri"/>
          <w:b/>
          <w:lang w:val="fr-FR"/>
        </w:rPr>
        <w:t xml:space="preserve">la </w:t>
      </w:r>
      <w:r w:rsidR="00C8170F" w:rsidRPr="00DB373F">
        <w:rPr>
          <w:rFonts w:eastAsia="Calibri"/>
          <w:b/>
          <w:lang w:val="fr-FR"/>
        </w:rPr>
        <w:t>r</w:t>
      </w:r>
      <w:r w:rsidR="00DB306A" w:rsidRPr="00DB373F">
        <w:rPr>
          <w:rFonts w:eastAsia="Calibri"/>
          <w:b/>
          <w:lang w:val="fr-FR"/>
        </w:rPr>
        <w:t>ecommandation générale n</w:t>
      </w:r>
      <w:r w:rsidR="005B0E15" w:rsidRPr="004D6249">
        <w:rPr>
          <w:rFonts w:eastAsia="Calibri"/>
          <w:b/>
          <w:vertAlign w:val="superscript"/>
          <w:lang w:val="fr-FR"/>
        </w:rPr>
        <w:t>o</w:t>
      </w:r>
      <w:r w:rsidR="005B0E15" w:rsidRPr="00CD2281">
        <w:rPr>
          <w:rFonts w:eastAsia="Calibri"/>
          <w:b/>
          <w:lang w:val="fr-FR"/>
        </w:rPr>
        <w:t> </w:t>
      </w:r>
      <w:r w:rsidR="00DB306A" w:rsidRPr="00CD2281">
        <w:rPr>
          <w:rFonts w:eastAsia="Calibri"/>
          <w:b/>
          <w:lang w:val="fr-FR"/>
        </w:rPr>
        <w:t xml:space="preserve">29 du Comité </w:t>
      </w:r>
      <w:r w:rsidR="00F45127" w:rsidRPr="00CD2281">
        <w:rPr>
          <w:rFonts w:eastAsia="Calibri"/>
          <w:b/>
          <w:lang w:val="fr-FR"/>
        </w:rPr>
        <w:t>pour l’élimination de la discrimination à l’égard des femmes</w:t>
      </w:r>
      <w:r w:rsidR="00DB306A" w:rsidRPr="00CD2281">
        <w:rPr>
          <w:rFonts w:eastAsia="Calibri"/>
          <w:b/>
          <w:lang w:val="fr-FR"/>
        </w:rPr>
        <w:t>, la famille est une institution sociale, juridique et</w:t>
      </w:r>
      <w:r w:rsidR="00250230" w:rsidRPr="00273ABE">
        <w:rPr>
          <w:rFonts w:eastAsia="Calibri"/>
          <w:b/>
          <w:lang w:val="fr-FR"/>
        </w:rPr>
        <w:t>,</w:t>
      </w:r>
      <w:r w:rsidR="00DB306A" w:rsidRPr="00DA64F5">
        <w:rPr>
          <w:rFonts w:eastAsia="Calibri"/>
          <w:b/>
          <w:lang w:val="fr-FR"/>
        </w:rPr>
        <w:t xml:space="preserve"> pour beaucoup, religieuse, </w:t>
      </w:r>
      <w:r w:rsidR="00250230" w:rsidRPr="00273ABE">
        <w:rPr>
          <w:rFonts w:eastAsia="Calibri"/>
          <w:b/>
          <w:lang w:val="fr-FR"/>
        </w:rPr>
        <w:t xml:space="preserve">elle </w:t>
      </w:r>
      <w:r w:rsidR="00DB306A" w:rsidRPr="00DA64F5">
        <w:rPr>
          <w:rFonts w:eastAsia="Calibri"/>
          <w:b/>
          <w:lang w:val="fr-FR"/>
        </w:rPr>
        <w:t>est aussi une institution économique</w:t>
      </w:r>
      <w:r w:rsidR="00DB306A" w:rsidRPr="00E32163">
        <w:rPr>
          <w:rFonts w:eastAsia="Calibri"/>
          <w:b/>
          <w:lang w:val="fr-FR"/>
        </w:rPr>
        <w:t>.</w:t>
      </w:r>
      <w:r w:rsidR="00DB306A" w:rsidRPr="006F0F1B">
        <w:rPr>
          <w:rFonts w:eastAsia="Calibri"/>
          <w:b/>
          <w:lang w:val="fr-FR"/>
        </w:rPr>
        <w:t xml:space="preserve"> </w:t>
      </w:r>
      <w:r w:rsidR="008C2F17">
        <w:rPr>
          <w:rFonts w:eastAsia="Calibri"/>
          <w:b/>
          <w:lang w:val="fr-FR"/>
        </w:rPr>
        <w:t xml:space="preserve">Le Groupe de travail </w:t>
      </w:r>
      <w:r w:rsidR="00997146">
        <w:rPr>
          <w:rFonts w:eastAsia="Calibri"/>
          <w:b/>
          <w:lang w:val="fr-FR"/>
        </w:rPr>
        <w:t xml:space="preserve">adresse les recommandations suivantes </w:t>
      </w:r>
      <w:r w:rsidR="008C2F17" w:rsidRPr="00EE1AED">
        <w:rPr>
          <w:rFonts w:eastAsia="Calibri"/>
          <w:b/>
          <w:lang w:val="fr-FR"/>
        </w:rPr>
        <w:t>aux États</w:t>
      </w:r>
      <w:r w:rsidR="005B0E15" w:rsidRPr="00EE1AED">
        <w:rPr>
          <w:rFonts w:eastAsia="Calibri"/>
          <w:b/>
          <w:lang w:val="fr-FR"/>
        </w:rPr>
        <w:t>:</w:t>
      </w:r>
      <w:r w:rsidR="004752F0">
        <w:rPr>
          <w:rFonts w:eastAsia="Calibri"/>
          <w:b/>
          <w:lang w:val="fr-FR"/>
        </w:rPr>
        <w:t xml:space="preserve"> </w:t>
      </w:r>
    </w:p>
    <w:p w:rsidR="006879D2" w:rsidRPr="006F0F1B" w:rsidRDefault="006D6CD4" w:rsidP="006A5AA5">
      <w:pPr>
        <w:pStyle w:val="Bullet2G"/>
        <w:numPr>
          <w:ilvl w:val="0"/>
          <w:numId w:val="0"/>
        </w:numPr>
        <w:ind w:left="1701"/>
        <w:rPr>
          <w:rFonts w:eastAsia="Calibri"/>
          <w:b/>
          <w:lang w:val="fr-FR"/>
        </w:rPr>
      </w:pPr>
      <w:r w:rsidRPr="006F0F1B">
        <w:rPr>
          <w:rFonts w:eastAsia="Calibri"/>
          <w:b/>
          <w:lang w:val="fr-FR"/>
        </w:rPr>
        <w:t>i)</w:t>
      </w:r>
      <w:r w:rsidRPr="006F0F1B">
        <w:rPr>
          <w:rFonts w:eastAsia="Calibri"/>
          <w:b/>
          <w:lang w:val="fr-FR"/>
        </w:rPr>
        <w:tab/>
      </w:r>
      <w:r w:rsidR="006879D2" w:rsidRPr="006F0F1B">
        <w:rPr>
          <w:rFonts w:eastAsia="Calibri"/>
          <w:b/>
          <w:lang w:val="fr-FR"/>
        </w:rPr>
        <w:t>Prendre des mesures pour s’assurer que la famille permet aux filles d</w:t>
      </w:r>
      <w:r w:rsidR="00BC7BEE">
        <w:rPr>
          <w:rFonts w:eastAsia="Calibri"/>
          <w:b/>
          <w:lang w:val="fr-FR"/>
        </w:rPr>
        <w:t>’</w:t>
      </w:r>
      <w:r w:rsidR="006879D2" w:rsidRPr="006F0F1B">
        <w:rPr>
          <w:rFonts w:eastAsia="Calibri"/>
          <w:b/>
          <w:lang w:val="fr-FR"/>
        </w:rPr>
        <w:t>accéder à l</w:t>
      </w:r>
      <w:r w:rsidR="00BC7BEE">
        <w:rPr>
          <w:rFonts w:eastAsia="Calibri"/>
          <w:b/>
          <w:lang w:val="fr-FR"/>
        </w:rPr>
        <w:t>’</w:t>
      </w:r>
      <w:r w:rsidR="006879D2" w:rsidRPr="006F0F1B">
        <w:rPr>
          <w:rFonts w:eastAsia="Calibri"/>
          <w:b/>
          <w:lang w:val="fr-FR"/>
        </w:rPr>
        <w:t xml:space="preserve">éducation à égalité avec les garçons, </w:t>
      </w:r>
      <w:r w:rsidR="006A5AA5">
        <w:rPr>
          <w:rFonts w:eastAsia="Calibri"/>
          <w:b/>
          <w:lang w:val="fr-FR"/>
        </w:rPr>
        <w:t xml:space="preserve">par une </w:t>
      </w:r>
      <w:r w:rsidR="006879D2" w:rsidRPr="006F0F1B">
        <w:rPr>
          <w:rFonts w:eastAsia="Calibri"/>
          <w:b/>
          <w:lang w:val="fr-FR"/>
        </w:rPr>
        <w:t>sensibilisa</w:t>
      </w:r>
      <w:r w:rsidR="006A5AA5">
        <w:rPr>
          <w:rFonts w:eastAsia="Calibri"/>
          <w:b/>
          <w:lang w:val="fr-FR"/>
        </w:rPr>
        <w:t>tion de</w:t>
      </w:r>
      <w:r w:rsidR="006879D2" w:rsidRPr="006F0F1B">
        <w:rPr>
          <w:rFonts w:eastAsia="Calibri"/>
          <w:b/>
          <w:lang w:val="fr-FR"/>
        </w:rPr>
        <w:t xml:space="preserve"> la communauté et </w:t>
      </w:r>
      <w:r w:rsidR="006A5AA5">
        <w:rPr>
          <w:rFonts w:eastAsia="Calibri"/>
          <w:b/>
          <w:lang w:val="fr-FR"/>
        </w:rPr>
        <w:t xml:space="preserve">par </w:t>
      </w:r>
      <w:r w:rsidR="006879D2" w:rsidRPr="006F0F1B">
        <w:rPr>
          <w:rFonts w:eastAsia="Calibri"/>
          <w:b/>
          <w:lang w:val="fr-FR"/>
        </w:rPr>
        <w:t>des incitations financières à la famille pour permettre aux filles de finir leurs études</w:t>
      </w:r>
      <w:r w:rsidR="000C6BF1">
        <w:rPr>
          <w:rFonts w:eastAsia="Calibri"/>
          <w:b/>
          <w:lang w:val="fr-FR"/>
        </w:rPr>
        <w:t>;</w:t>
      </w:r>
    </w:p>
    <w:p w:rsidR="006879D2" w:rsidRPr="006F0F1B" w:rsidRDefault="006D6CD4" w:rsidP="006F0F1B">
      <w:pPr>
        <w:pStyle w:val="Bullet2G"/>
        <w:numPr>
          <w:ilvl w:val="0"/>
          <w:numId w:val="0"/>
        </w:numPr>
        <w:ind w:left="1701"/>
        <w:rPr>
          <w:rFonts w:eastAsia="Calibri"/>
          <w:b/>
          <w:lang w:val="fr-FR"/>
        </w:rPr>
      </w:pPr>
      <w:r w:rsidRPr="006F0F1B">
        <w:rPr>
          <w:rFonts w:eastAsia="Calibri"/>
          <w:b/>
          <w:lang w:val="fr-FR"/>
        </w:rPr>
        <w:t>ii)</w:t>
      </w:r>
      <w:r w:rsidRPr="006F0F1B">
        <w:rPr>
          <w:rFonts w:eastAsia="Calibri"/>
          <w:b/>
          <w:lang w:val="fr-FR"/>
        </w:rPr>
        <w:tab/>
      </w:r>
      <w:r w:rsidR="006879D2" w:rsidRPr="006F0F1B">
        <w:rPr>
          <w:rFonts w:eastAsia="Calibri"/>
          <w:b/>
          <w:lang w:val="fr-FR"/>
        </w:rPr>
        <w:t>Veiller à ce que les femmes soient libres de participer à des activités économiques en dehors de la maison ou du village, sans la tutelle de parents masculins</w:t>
      </w:r>
      <w:r w:rsidR="000C6BF1">
        <w:rPr>
          <w:rFonts w:eastAsia="Calibri"/>
          <w:b/>
          <w:lang w:val="fr-FR"/>
        </w:rPr>
        <w:t>;</w:t>
      </w:r>
    </w:p>
    <w:p w:rsidR="006879D2" w:rsidRPr="006F0F1B" w:rsidRDefault="006D6CD4" w:rsidP="006F0F1B">
      <w:pPr>
        <w:pStyle w:val="Bullet2G"/>
        <w:numPr>
          <w:ilvl w:val="0"/>
          <w:numId w:val="0"/>
        </w:numPr>
        <w:ind w:left="1701"/>
        <w:rPr>
          <w:rFonts w:eastAsia="Calibri"/>
          <w:b/>
          <w:lang w:val="fr-FR"/>
        </w:rPr>
      </w:pPr>
      <w:r w:rsidRPr="006F0F1B">
        <w:rPr>
          <w:rFonts w:eastAsia="Calibri"/>
          <w:b/>
          <w:lang w:val="fr-FR"/>
        </w:rPr>
        <w:t>iii)</w:t>
      </w:r>
      <w:r w:rsidRPr="006F0F1B">
        <w:rPr>
          <w:rFonts w:eastAsia="Calibri"/>
          <w:b/>
          <w:lang w:val="fr-FR"/>
        </w:rPr>
        <w:tab/>
      </w:r>
      <w:r w:rsidR="006879D2" w:rsidRPr="006F0F1B">
        <w:rPr>
          <w:rFonts w:eastAsia="Calibri"/>
          <w:b/>
          <w:lang w:val="fr-FR"/>
        </w:rPr>
        <w:t>Veiller à ce que les femmes aient le droit, sur un pied d’égalité avec les hommes</w:t>
      </w:r>
      <w:r w:rsidR="00A21970" w:rsidRPr="00800791">
        <w:rPr>
          <w:rFonts w:eastAsia="Calibri"/>
          <w:b/>
          <w:lang w:val="fr-FR"/>
        </w:rPr>
        <w:t>,</w:t>
      </w:r>
      <w:r w:rsidR="006879D2" w:rsidRPr="005E778E">
        <w:rPr>
          <w:rFonts w:eastAsia="Calibri"/>
          <w:b/>
          <w:lang w:val="fr-FR"/>
        </w:rPr>
        <w:t xml:space="preserve"> et les filles avec les garçons,</w:t>
      </w:r>
      <w:r w:rsidR="006879D2" w:rsidRPr="006F0F1B">
        <w:rPr>
          <w:rFonts w:eastAsia="Calibri"/>
          <w:b/>
          <w:lang w:val="fr-FR"/>
        </w:rPr>
        <w:t xml:space="preserve"> au minimum à la moitié de la propriété familiale et de l</w:t>
      </w:r>
      <w:r w:rsidR="00BC7BEE">
        <w:rPr>
          <w:rFonts w:eastAsia="Calibri"/>
          <w:b/>
          <w:lang w:val="fr-FR"/>
        </w:rPr>
        <w:t>’</w:t>
      </w:r>
      <w:r w:rsidR="006879D2" w:rsidRPr="006F0F1B">
        <w:rPr>
          <w:rFonts w:eastAsia="Calibri"/>
          <w:b/>
          <w:lang w:val="fr-FR"/>
        </w:rPr>
        <w:t>héritage, en cas de divorce ou de veuvage. Faciliter l</w:t>
      </w:r>
      <w:r w:rsidR="00BC7BEE">
        <w:rPr>
          <w:rFonts w:eastAsia="Calibri"/>
          <w:b/>
          <w:lang w:val="fr-FR"/>
        </w:rPr>
        <w:t>’</w:t>
      </w:r>
      <w:r w:rsidR="006879D2" w:rsidRPr="006F0F1B">
        <w:rPr>
          <w:rFonts w:eastAsia="Calibri"/>
          <w:b/>
          <w:lang w:val="fr-FR"/>
        </w:rPr>
        <w:t>invalidation d’une renonciation de ces droits pour les femmes lorsqu’elle est le résultat de la pression de la famille ou de la communauté</w:t>
      </w:r>
      <w:r w:rsidR="000C6BF1">
        <w:rPr>
          <w:rFonts w:eastAsia="Calibri"/>
          <w:b/>
          <w:lang w:val="fr-FR"/>
        </w:rPr>
        <w:t>;</w:t>
      </w:r>
    </w:p>
    <w:p w:rsidR="006879D2" w:rsidRPr="006F0F1B" w:rsidRDefault="006D6CD4" w:rsidP="00514FA6">
      <w:pPr>
        <w:pStyle w:val="Bullet2G"/>
        <w:numPr>
          <w:ilvl w:val="0"/>
          <w:numId w:val="0"/>
        </w:numPr>
        <w:ind w:left="1701"/>
        <w:rPr>
          <w:rFonts w:eastAsia="Calibri"/>
          <w:b/>
          <w:lang w:val="fr-FR"/>
        </w:rPr>
      </w:pPr>
      <w:r w:rsidRPr="006F0F1B">
        <w:rPr>
          <w:rFonts w:eastAsia="Calibri"/>
          <w:b/>
          <w:lang w:val="fr-FR"/>
        </w:rPr>
        <w:t>iv)</w:t>
      </w:r>
      <w:r w:rsidRPr="006F0F1B">
        <w:rPr>
          <w:rFonts w:eastAsia="Calibri"/>
          <w:b/>
          <w:lang w:val="fr-FR"/>
        </w:rPr>
        <w:tab/>
      </w:r>
      <w:r w:rsidR="006879D2" w:rsidRPr="006F0F1B">
        <w:rPr>
          <w:rFonts w:eastAsia="Calibri"/>
          <w:b/>
          <w:lang w:val="fr-FR"/>
        </w:rPr>
        <w:t xml:space="preserve">Reconnaître le droit des femmes vivant dans </w:t>
      </w:r>
      <w:r w:rsidR="00F23C89">
        <w:rPr>
          <w:rFonts w:eastAsia="Calibri"/>
          <w:b/>
          <w:lang w:val="fr-FR"/>
        </w:rPr>
        <w:t>d</w:t>
      </w:r>
      <w:r w:rsidR="006879D2" w:rsidRPr="006F0F1B">
        <w:rPr>
          <w:rFonts w:eastAsia="Calibri"/>
          <w:b/>
          <w:lang w:val="fr-FR"/>
        </w:rPr>
        <w:t xml:space="preserve">es mariages polygames </w:t>
      </w:r>
      <w:r w:rsidR="00514FA6">
        <w:rPr>
          <w:rFonts w:eastAsia="Calibri"/>
          <w:b/>
          <w:lang w:val="fr-FR"/>
        </w:rPr>
        <w:t xml:space="preserve">à mettre un terme à </w:t>
      </w:r>
      <w:r w:rsidR="006879D2" w:rsidRPr="006F0F1B">
        <w:rPr>
          <w:rFonts w:eastAsia="Calibri"/>
          <w:b/>
          <w:lang w:val="fr-FR"/>
        </w:rPr>
        <w:t>leur mariage lorsque leur mari prend une autre femme, et leur accorder une part de la propriété familiale, y compris la valeur de la maison ou du terrain</w:t>
      </w:r>
      <w:r w:rsidR="000C6BF1">
        <w:rPr>
          <w:rFonts w:eastAsia="Calibri"/>
          <w:b/>
          <w:lang w:val="fr-FR"/>
        </w:rPr>
        <w:t>;</w:t>
      </w:r>
    </w:p>
    <w:p w:rsidR="006879D2" w:rsidRPr="006F0F1B" w:rsidRDefault="006D6CD4" w:rsidP="001A352B">
      <w:pPr>
        <w:pStyle w:val="Bullet2G"/>
        <w:numPr>
          <w:ilvl w:val="0"/>
          <w:numId w:val="0"/>
        </w:numPr>
        <w:ind w:left="1701"/>
        <w:rPr>
          <w:rFonts w:eastAsia="Calibri"/>
          <w:b/>
          <w:lang w:val="fr-FR"/>
        </w:rPr>
      </w:pPr>
      <w:r w:rsidRPr="006F0F1B">
        <w:rPr>
          <w:rFonts w:eastAsia="Calibri"/>
          <w:b/>
          <w:lang w:val="fr-FR"/>
        </w:rPr>
        <w:t>v)</w:t>
      </w:r>
      <w:r w:rsidRPr="006F0F1B">
        <w:rPr>
          <w:rFonts w:eastAsia="Calibri"/>
          <w:b/>
          <w:lang w:val="fr-FR"/>
        </w:rPr>
        <w:tab/>
      </w:r>
      <w:r w:rsidR="006879D2" w:rsidRPr="006F0F1B">
        <w:rPr>
          <w:rFonts w:eastAsia="Calibri"/>
          <w:b/>
          <w:lang w:val="fr-FR"/>
        </w:rPr>
        <w:t>Reconnaître les femmes en tant que chef</w:t>
      </w:r>
      <w:r w:rsidR="006A5AA5">
        <w:rPr>
          <w:rFonts w:eastAsia="Calibri"/>
          <w:b/>
          <w:lang w:val="fr-FR"/>
        </w:rPr>
        <w:t>s</w:t>
      </w:r>
      <w:r w:rsidR="006879D2" w:rsidRPr="006F0F1B">
        <w:rPr>
          <w:rFonts w:eastAsia="Calibri"/>
          <w:b/>
          <w:lang w:val="fr-FR"/>
        </w:rPr>
        <w:t xml:space="preserve"> de famille à égalité avec les hommes pour </w:t>
      </w:r>
      <w:r w:rsidR="001A352B" w:rsidRPr="00B46AB5">
        <w:rPr>
          <w:rFonts w:eastAsia="Calibri"/>
          <w:b/>
          <w:lang w:val="fr-FR"/>
        </w:rPr>
        <w:t xml:space="preserve">bénéficier de </w:t>
      </w:r>
      <w:r w:rsidR="006879D2" w:rsidRPr="00B46AB5">
        <w:rPr>
          <w:rFonts w:eastAsia="Calibri"/>
          <w:b/>
          <w:lang w:val="fr-FR"/>
        </w:rPr>
        <w:t>tous</w:t>
      </w:r>
      <w:r w:rsidR="006879D2" w:rsidRPr="001A352B">
        <w:rPr>
          <w:rFonts w:eastAsia="Calibri"/>
          <w:b/>
          <w:lang w:val="fr-FR"/>
        </w:rPr>
        <w:t xml:space="preserve"> les avantages financiers</w:t>
      </w:r>
      <w:r w:rsidR="006879D2" w:rsidRPr="006F0F1B">
        <w:rPr>
          <w:rFonts w:eastAsia="Calibri"/>
          <w:b/>
          <w:lang w:val="fr-FR"/>
        </w:rPr>
        <w:t xml:space="preserve"> ou sociaux</w:t>
      </w:r>
      <w:r w:rsidR="000C6BF1">
        <w:rPr>
          <w:rFonts w:eastAsia="Calibri"/>
          <w:b/>
          <w:lang w:val="fr-FR"/>
        </w:rPr>
        <w:t>;</w:t>
      </w:r>
    </w:p>
    <w:p w:rsidR="006879D2" w:rsidRPr="006F0F1B" w:rsidRDefault="006D6CD4" w:rsidP="006F0F1B">
      <w:pPr>
        <w:pStyle w:val="Bullet2G"/>
        <w:numPr>
          <w:ilvl w:val="0"/>
          <w:numId w:val="0"/>
        </w:numPr>
        <w:ind w:left="1701"/>
        <w:rPr>
          <w:rFonts w:eastAsia="Calibri"/>
          <w:b/>
          <w:lang w:val="fr-FR"/>
        </w:rPr>
      </w:pPr>
      <w:r w:rsidRPr="006F0F1B">
        <w:rPr>
          <w:rFonts w:eastAsia="Calibri"/>
          <w:b/>
          <w:lang w:val="fr-FR"/>
        </w:rPr>
        <w:t>vi)</w:t>
      </w:r>
      <w:r w:rsidRPr="006F0F1B">
        <w:rPr>
          <w:rFonts w:eastAsia="Calibri"/>
          <w:b/>
          <w:lang w:val="fr-FR"/>
        </w:rPr>
        <w:tab/>
      </w:r>
      <w:r w:rsidR="006879D2" w:rsidRPr="006F0F1B">
        <w:rPr>
          <w:rFonts w:eastAsia="Calibri"/>
          <w:b/>
          <w:lang w:val="fr-FR"/>
        </w:rPr>
        <w:t>Évaluer, quantifier et intégrer l</w:t>
      </w:r>
      <w:r w:rsidR="00BC7BEE">
        <w:rPr>
          <w:rFonts w:eastAsia="Calibri"/>
          <w:b/>
          <w:lang w:val="fr-FR"/>
        </w:rPr>
        <w:t>’</w:t>
      </w:r>
      <w:r w:rsidR="006879D2" w:rsidRPr="006F0F1B">
        <w:rPr>
          <w:rFonts w:eastAsia="Calibri"/>
          <w:b/>
          <w:lang w:val="fr-FR"/>
        </w:rPr>
        <w:t>impact de la situation des femmes et des filles dans la famille dans toutes les politiques de réduction de la pauvreté</w:t>
      </w:r>
      <w:r w:rsidR="00CF1049">
        <w:rPr>
          <w:rFonts w:eastAsia="Calibri"/>
          <w:b/>
          <w:lang w:val="fr-FR"/>
        </w:rPr>
        <w:t>;</w:t>
      </w:r>
    </w:p>
    <w:p w:rsidR="006879D2" w:rsidRPr="006F0F1B" w:rsidRDefault="006879D2" w:rsidP="00273ABE">
      <w:pPr>
        <w:pStyle w:val="SingleTxtG"/>
        <w:keepNext/>
        <w:numPr>
          <w:ilvl w:val="0"/>
          <w:numId w:val="33"/>
        </w:numPr>
        <w:ind w:left="1134" w:firstLine="0"/>
        <w:rPr>
          <w:rFonts w:eastAsia="Calibri"/>
          <w:b/>
          <w:lang w:val="fr-FR"/>
        </w:rPr>
      </w:pPr>
      <w:r w:rsidRPr="006F0F1B">
        <w:rPr>
          <w:rFonts w:eastAsia="Calibri"/>
          <w:b/>
          <w:lang w:val="fr-FR"/>
        </w:rPr>
        <w:t>Le Groupe d</w:t>
      </w:r>
      <w:r w:rsidR="00736F92">
        <w:rPr>
          <w:rFonts w:eastAsia="Calibri"/>
          <w:b/>
          <w:lang w:val="fr-FR"/>
        </w:rPr>
        <w:t xml:space="preserve">e travail </w:t>
      </w:r>
      <w:r w:rsidRPr="006F0F1B">
        <w:rPr>
          <w:rFonts w:eastAsia="Calibri"/>
          <w:b/>
          <w:lang w:val="fr-FR"/>
        </w:rPr>
        <w:t>adresse les recommandations suivantes aux mécanismes internationaux et régionaux des droits de l’homme</w:t>
      </w:r>
      <w:r w:rsidR="000C6BF1">
        <w:rPr>
          <w:rFonts w:eastAsia="Calibri"/>
          <w:b/>
          <w:lang w:val="fr-FR"/>
        </w:rPr>
        <w:t>:</w:t>
      </w:r>
    </w:p>
    <w:p w:rsidR="006879D2" w:rsidRPr="006F0F1B" w:rsidRDefault="002A4DCC" w:rsidP="00273ABE">
      <w:pPr>
        <w:pStyle w:val="Bullet1G"/>
        <w:numPr>
          <w:ilvl w:val="0"/>
          <w:numId w:val="0"/>
        </w:numPr>
        <w:ind w:left="1134" w:firstLine="567"/>
        <w:rPr>
          <w:rFonts w:eastAsia="Calibri"/>
          <w:b/>
          <w:lang w:val="fr-FR"/>
        </w:rPr>
      </w:pPr>
      <w:r>
        <w:rPr>
          <w:rFonts w:eastAsia="Calibri"/>
          <w:b/>
          <w:lang w:val="fr-FR"/>
        </w:rPr>
        <w:t>a</w:t>
      </w:r>
      <w:r w:rsidR="006D6CD4" w:rsidRPr="006F0F1B">
        <w:rPr>
          <w:rFonts w:eastAsia="Calibri"/>
          <w:b/>
          <w:lang w:val="fr-FR"/>
        </w:rPr>
        <w:t>)</w:t>
      </w:r>
      <w:r w:rsidR="006D6CD4" w:rsidRPr="006F0F1B">
        <w:rPr>
          <w:rFonts w:eastAsia="Calibri"/>
          <w:b/>
          <w:lang w:val="fr-FR"/>
        </w:rPr>
        <w:tab/>
      </w:r>
      <w:r w:rsidR="003551BA" w:rsidRPr="00ED069E">
        <w:rPr>
          <w:rFonts w:eastAsia="Calibri"/>
          <w:b/>
          <w:lang w:val="fr-FR"/>
        </w:rPr>
        <w:t>Élaborer</w:t>
      </w:r>
      <w:r w:rsidR="006879D2" w:rsidRPr="006F0F1B">
        <w:rPr>
          <w:rFonts w:eastAsia="Calibri"/>
          <w:b/>
          <w:lang w:val="fr-FR"/>
        </w:rPr>
        <w:t xml:space="preserve"> des normes, des principes et des lignes directrices pour lutter contre toutes les formes de </w:t>
      </w:r>
      <w:r w:rsidR="006879D2" w:rsidRPr="00773AAD">
        <w:rPr>
          <w:rFonts w:eastAsia="Calibri"/>
          <w:b/>
          <w:lang w:val="fr-FR"/>
        </w:rPr>
        <w:t>stéréotypes</w:t>
      </w:r>
      <w:r w:rsidR="006879D2" w:rsidRPr="006F0F1B">
        <w:rPr>
          <w:rFonts w:eastAsia="Calibri"/>
          <w:b/>
          <w:lang w:val="fr-FR"/>
        </w:rPr>
        <w:t xml:space="preserve"> sexistes</w:t>
      </w:r>
      <w:r w:rsidR="006A5AA5">
        <w:rPr>
          <w:rFonts w:eastAsia="Calibri"/>
          <w:b/>
          <w:lang w:val="fr-FR"/>
        </w:rPr>
        <w:t>,</w:t>
      </w:r>
      <w:r w:rsidR="006879D2" w:rsidRPr="006F0F1B">
        <w:rPr>
          <w:rFonts w:eastAsia="Calibri"/>
          <w:b/>
          <w:lang w:val="fr-FR"/>
        </w:rPr>
        <w:t xml:space="preserve"> conformément à la Convention </w:t>
      </w:r>
      <w:r w:rsidR="00F45127" w:rsidRPr="00F45127">
        <w:rPr>
          <w:rFonts w:eastAsia="Calibri"/>
          <w:b/>
          <w:lang w:val="fr-FR"/>
        </w:rPr>
        <w:t>sur l’élimination de toutes les formes de discrimination à l’égard des femmes</w:t>
      </w:r>
      <w:r w:rsidR="000C6BF1">
        <w:rPr>
          <w:rFonts w:eastAsia="Calibri"/>
          <w:b/>
          <w:lang w:val="fr-FR"/>
        </w:rPr>
        <w:t>;</w:t>
      </w:r>
    </w:p>
    <w:p w:rsidR="006879D2" w:rsidRPr="006F0F1B" w:rsidRDefault="002A4DCC" w:rsidP="00273ABE">
      <w:pPr>
        <w:pStyle w:val="Bullet1G"/>
        <w:numPr>
          <w:ilvl w:val="0"/>
          <w:numId w:val="0"/>
        </w:numPr>
        <w:ind w:left="1134" w:firstLine="567"/>
        <w:rPr>
          <w:rFonts w:eastAsia="Calibri"/>
          <w:b/>
          <w:lang w:val="fr-FR"/>
        </w:rPr>
      </w:pPr>
      <w:r>
        <w:rPr>
          <w:rFonts w:eastAsia="Calibri"/>
          <w:b/>
          <w:lang w:val="fr-FR"/>
        </w:rPr>
        <w:t>b</w:t>
      </w:r>
      <w:r w:rsidR="006D6CD4" w:rsidRPr="006F0F1B">
        <w:rPr>
          <w:rFonts w:eastAsia="Calibri"/>
          <w:b/>
          <w:lang w:val="fr-FR"/>
        </w:rPr>
        <w:t>)</w:t>
      </w:r>
      <w:r w:rsidR="006D6CD4" w:rsidRPr="006F0F1B">
        <w:rPr>
          <w:rFonts w:eastAsia="Calibri"/>
          <w:b/>
          <w:lang w:val="fr-FR"/>
        </w:rPr>
        <w:tab/>
      </w:r>
      <w:r w:rsidR="006879D2" w:rsidRPr="006F0F1B">
        <w:rPr>
          <w:rFonts w:eastAsia="Calibri"/>
          <w:b/>
          <w:lang w:val="fr-FR"/>
        </w:rPr>
        <w:t>Mener des études empiriques sur la diversité des familles et les implications stratégiques de la protection des droits de l’homme pour la famille et pour tous ses membres sur un pied d</w:t>
      </w:r>
      <w:r w:rsidR="00BC7BEE">
        <w:rPr>
          <w:rFonts w:eastAsia="Calibri"/>
          <w:b/>
          <w:lang w:val="fr-FR"/>
        </w:rPr>
        <w:t>’</w:t>
      </w:r>
      <w:r w:rsidR="006879D2" w:rsidRPr="006F0F1B">
        <w:rPr>
          <w:rFonts w:eastAsia="Calibri"/>
          <w:b/>
          <w:lang w:val="fr-FR"/>
        </w:rPr>
        <w:t>égalité</w:t>
      </w:r>
      <w:r w:rsidR="000C6BF1">
        <w:rPr>
          <w:rFonts w:eastAsia="Calibri"/>
          <w:b/>
          <w:lang w:val="fr-FR"/>
        </w:rPr>
        <w:t>;</w:t>
      </w:r>
    </w:p>
    <w:p w:rsidR="006879D2" w:rsidRPr="006F0F1B" w:rsidRDefault="002A4DCC" w:rsidP="00273ABE">
      <w:pPr>
        <w:pStyle w:val="Bullet1G"/>
        <w:numPr>
          <w:ilvl w:val="0"/>
          <w:numId w:val="0"/>
        </w:numPr>
        <w:ind w:left="1134" w:firstLine="567"/>
        <w:rPr>
          <w:rFonts w:eastAsia="Calibri"/>
          <w:b/>
          <w:lang w:val="fr-FR"/>
        </w:rPr>
      </w:pPr>
      <w:r>
        <w:rPr>
          <w:rFonts w:eastAsia="Calibri"/>
          <w:b/>
          <w:lang w:val="fr-FR"/>
        </w:rPr>
        <w:t>c</w:t>
      </w:r>
      <w:r w:rsidR="006D6CD4" w:rsidRPr="006F0F1B">
        <w:rPr>
          <w:rFonts w:eastAsia="Calibri"/>
          <w:b/>
          <w:lang w:val="fr-FR"/>
        </w:rPr>
        <w:t>)</w:t>
      </w:r>
      <w:r w:rsidR="006D6CD4" w:rsidRPr="006F0F1B">
        <w:rPr>
          <w:rFonts w:eastAsia="Calibri"/>
          <w:b/>
          <w:lang w:val="fr-FR"/>
        </w:rPr>
        <w:tab/>
      </w:r>
      <w:r w:rsidR="006879D2" w:rsidRPr="006F0F1B">
        <w:rPr>
          <w:rFonts w:eastAsia="Calibri"/>
          <w:b/>
          <w:lang w:val="fr-FR"/>
        </w:rPr>
        <w:t xml:space="preserve">Explorer la formation d’un cadre essentiel de protection juridique minimale applicable à </w:t>
      </w:r>
      <w:r w:rsidR="006879D2" w:rsidRPr="004E5692">
        <w:rPr>
          <w:rFonts w:eastAsia="Calibri"/>
          <w:b/>
          <w:lang w:val="fr-FR"/>
        </w:rPr>
        <w:t>tou</w:t>
      </w:r>
      <w:r w:rsidR="004E5692" w:rsidRPr="00273ABE">
        <w:rPr>
          <w:rFonts w:eastAsia="Calibri"/>
          <w:b/>
          <w:lang w:val="fr-FR"/>
        </w:rPr>
        <w:t>te</w:t>
      </w:r>
      <w:r w:rsidR="006879D2" w:rsidRPr="004E5692">
        <w:rPr>
          <w:rFonts w:eastAsia="Calibri"/>
          <w:b/>
          <w:lang w:val="fr-FR"/>
        </w:rPr>
        <w:t xml:space="preserve">s les </w:t>
      </w:r>
      <w:r w:rsidR="004E5692" w:rsidRPr="00273ABE">
        <w:rPr>
          <w:rFonts w:eastAsia="Calibri"/>
          <w:b/>
          <w:lang w:val="fr-FR"/>
        </w:rPr>
        <w:t xml:space="preserve">formes </w:t>
      </w:r>
      <w:r w:rsidR="006879D2" w:rsidRPr="004E5692">
        <w:rPr>
          <w:rFonts w:eastAsia="Calibri"/>
          <w:b/>
          <w:lang w:val="fr-FR"/>
        </w:rPr>
        <w:t>de famille,</w:t>
      </w:r>
      <w:r w:rsidR="006879D2" w:rsidRPr="006F0F1B">
        <w:rPr>
          <w:rFonts w:eastAsia="Calibri"/>
          <w:b/>
          <w:lang w:val="fr-FR"/>
        </w:rPr>
        <w:t xml:space="preserve"> y compris les familles autocréées ou autodéfinies, et qui garantirait les droits fondamentaux des femmes dans la famille</w:t>
      </w:r>
      <w:r w:rsidR="006A5AA5">
        <w:rPr>
          <w:rFonts w:eastAsia="Calibri"/>
          <w:b/>
          <w:lang w:val="fr-FR"/>
        </w:rPr>
        <w:t>,</w:t>
      </w:r>
      <w:r w:rsidR="006879D2" w:rsidRPr="006F0F1B">
        <w:rPr>
          <w:rFonts w:eastAsia="Calibri"/>
          <w:b/>
          <w:lang w:val="fr-FR"/>
        </w:rPr>
        <w:t xml:space="preserve"> conformément au droit international.</w:t>
      </w:r>
    </w:p>
    <w:p w:rsidR="000D7F04" w:rsidRPr="006F0F1B" w:rsidRDefault="000D7F04" w:rsidP="000D7F04">
      <w:pPr>
        <w:pStyle w:val="Bullet2G"/>
        <w:numPr>
          <w:ilvl w:val="0"/>
          <w:numId w:val="0"/>
        </w:numPr>
        <w:spacing w:before="240" w:after="0"/>
        <w:ind w:left="1134"/>
        <w:jc w:val="center"/>
        <w:rPr>
          <w:rFonts w:eastAsia="Calibri"/>
          <w:u w:val="single"/>
          <w:lang w:val="fr-FR"/>
        </w:rPr>
      </w:pPr>
      <w:r w:rsidRPr="006F0F1B">
        <w:rPr>
          <w:rFonts w:eastAsia="Calibri"/>
          <w:u w:val="single"/>
          <w:lang w:val="fr-FR"/>
        </w:rPr>
        <w:tab/>
      </w:r>
      <w:r w:rsidRPr="006F0F1B">
        <w:rPr>
          <w:rFonts w:eastAsia="Calibri"/>
          <w:u w:val="single"/>
          <w:lang w:val="fr-FR"/>
        </w:rPr>
        <w:tab/>
      </w:r>
      <w:r w:rsidRPr="006F0F1B">
        <w:rPr>
          <w:rFonts w:eastAsia="Calibri"/>
          <w:u w:val="single"/>
          <w:lang w:val="fr-FR"/>
        </w:rPr>
        <w:tab/>
      </w:r>
    </w:p>
    <w:sectPr w:rsidR="000D7F04" w:rsidRPr="006F0F1B" w:rsidSect="002D54F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758" w:rsidRDefault="00C01758"/>
  </w:endnote>
  <w:endnote w:type="continuationSeparator" w:id="0">
    <w:p w:rsidR="00C01758" w:rsidRDefault="00C01758"/>
  </w:endnote>
  <w:endnote w:type="continuationNotice" w:id="1">
    <w:p w:rsidR="00C01758" w:rsidRDefault="00C017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55" w:rsidRPr="006879D2" w:rsidRDefault="001F1655" w:rsidP="006879D2">
    <w:pPr>
      <w:pStyle w:val="Footer"/>
      <w:tabs>
        <w:tab w:val="right" w:pos="9638"/>
      </w:tabs>
      <w:rPr>
        <w:b/>
        <w:sz w:val="18"/>
      </w:rPr>
    </w:pPr>
    <w:r w:rsidRPr="006879D2">
      <w:rPr>
        <w:b/>
        <w:sz w:val="18"/>
      </w:rPr>
      <w:fldChar w:fldCharType="begin"/>
    </w:r>
    <w:r w:rsidRPr="006879D2">
      <w:rPr>
        <w:b/>
        <w:sz w:val="18"/>
      </w:rPr>
      <w:instrText xml:space="preserve"> PAGE  \* MERGEFORMAT </w:instrText>
    </w:r>
    <w:r w:rsidRPr="006879D2">
      <w:rPr>
        <w:b/>
        <w:sz w:val="18"/>
      </w:rPr>
      <w:fldChar w:fldCharType="separate"/>
    </w:r>
    <w:r w:rsidR="00631BD0">
      <w:rPr>
        <w:b/>
        <w:noProof/>
        <w:sz w:val="18"/>
      </w:rPr>
      <w:t>2</w:t>
    </w:r>
    <w:r w:rsidRPr="006879D2">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55" w:rsidRPr="006879D2" w:rsidRDefault="001F1655" w:rsidP="006F0F1B">
    <w:pPr>
      <w:pStyle w:val="Footer"/>
      <w:tabs>
        <w:tab w:val="right" w:pos="9638"/>
      </w:tabs>
    </w:pPr>
    <w:r>
      <w:rPr>
        <w:b/>
        <w:sz w:val="18"/>
      </w:rPr>
      <w:tab/>
    </w:r>
    <w:r w:rsidRPr="006879D2">
      <w:rPr>
        <w:b/>
        <w:sz w:val="18"/>
      </w:rPr>
      <w:fldChar w:fldCharType="begin"/>
    </w:r>
    <w:r w:rsidRPr="006879D2">
      <w:rPr>
        <w:b/>
        <w:sz w:val="18"/>
      </w:rPr>
      <w:instrText xml:space="preserve"> PAGE  \* MERGEFORMAT </w:instrText>
    </w:r>
    <w:r w:rsidRPr="006879D2">
      <w:rPr>
        <w:b/>
        <w:sz w:val="18"/>
      </w:rPr>
      <w:fldChar w:fldCharType="separate"/>
    </w:r>
    <w:r w:rsidR="00631BD0">
      <w:rPr>
        <w:b/>
        <w:noProof/>
        <w:sz w:val="18"/>
      </w:rPr>
      <w:t>21</w:t>
    </w:r>
    <w:r w:rsidRPr="006879D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55" w:rsidRPr="006879D2" w:rsidRDefault="00663E04" w:rsidP="00A954DF">
    <w:pPr>
      <w:pStyle w:val="Footer"/>
      <w:tabs>
        <w:tab w:val="right" w:pos="9639"/>
      </w:tabs>
      <w:rPr>
        <w:sz w:val="20"/>
      </w:rPr>
    </w:pPr>
    <w:r>
      <w:rPr>
        <w:noProof/>
        <w:lang w:val="en-US"/>
      </w:rPr>
      <w:drawing>
        <wp:anchor distT="0" distB="0" distL="114300" distR="114300" simplePos="0" relativeHeight="251657728" behindDoc="0" locked="0" layoutInCell="1" allowOverlap="0">
          <wp:simplePos x="0" y="0"/>
          <wp:positionH relativeFrom="margin">
            <wp:posOffset>4320540</wp:posOffset>
          </wp:positionH>
          <wp:positionV relativeFrom="margin">
            <wp:posOffset>8281035</wp:posOffset>
          </wp:positionV>
          <wp:extent cx="1104265" cy="233045"/>
          <wp:effectExtent l="0" t="0" r="635"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rsidR="001F1655">
      <w:rPr>
        <w:sz w:val="20"/>
      </w:rPr>
      <w:t>GE.15-</w:t>
    </w:r>
    <w:r w:rsidR="008D0298">
      <w:rPr>
        <w:sz w:val="20"/>
      </w:rPr>
      <w:t>07004</w:t>
    </w:r>
    <w:r w:rsidR="00FF507E">
      <w:rPr>
        <w:sz w:val="20"/>
      </w:rPr>
      <w:br/>
    </w:r>
    <w:r w:rsidR="00FF507E" w:rsidRPr="00FF507E">
      <w:rPr>
        <w:rFonts w:ascii="C39T30Lfz" w:hAnsi="C39T30Lfz"/>
        <w:sz w:val="56"/>
      </w:rPr>
      <w:t></w:t>
    </w:r>
    <w:r w:rsidR="00FF507E" w:rsidRPr="00FF507E">
      <w:rPr>
        <w:rFonts w:ascii="C39T30Lfz" w:hAnsi="C39T30Lfz"/>
        <w:sz w:val="56"/>
      </w:rPr>
      <w:t></w:t>
    </w:r>
    <w:r w:rsidR="00FF507E" w:rsidRPr="00FF507E">
      <w:rPr>
        <w:rFonts w:ascii="C39T30Lfz" w:hAnsi="C39T30Lfz"/>
        <w:sz w:val="56"/>
      </w:rPr>
      <w:t></w:t>
    </w:r>
    <w:r w:rsidR="00FF507E" w:rsidRPr="00FF507E">
      <w:rPr>
        <w:rFonts w:ascii="C39T30Lfz" w:hAnsi="C39T30Lfz"/>
        <w:sz w:val="56"/>
      </w:rPr>
      <w:t></w:t>
    </w:r>
    <w:r w:rsidR="00FF507E" w:rsidRPr="00FF507E">
      <w:rPr>
        <w:rFonts w:ascii="C39T30Lfz" w:hAnsi="C39T30Lfz"/>
        <w:sz w:val="56"/>
      </w:rPr>
      <w:t></w:t>
    </w:r>
    <w:r w:rsidR="00FF507E" w:rsidRPr="00FF507E">
      <w:rPr>
        <w:rFonts w:ascii="C39T30Lfz" w:hAnsi="C39T30Lfz"/>
        <w:sz w:val="56"/>
      </w:rPr>
      <w:t></w:t>
    </w:r>
    <w:r w:rsidR="00FF507E" w:rsidRPr="00FF507E">
      <w:rPr>
        <w:rFonts w:ascii="C39T30Lfz" w:hAnsi="C39T30Lfz"/>
        <w:sz w:val="56"/>
      </w:rPr>
      <w:t></w:t>
    </w:r>
    <w:r w:rsidR="00FF507E" w:rsidRPr="00FF507E">
      <w:rPr>
        <w:rFonts w:ascii="C39T30Lfz" w:hAnsi="C39T30Lfz"/>
        <w:sz w:val="56"/>
      </w:rPr>
      <w:t></w:t>
    </w:r>
    <w:r w:rsidR="00FF507E" w:rsidRPr="00FF507E">
      <w:rPr>
        <w:rFonts w:ascii="C39T30Lfz" w:hAnsi="C39T30Lfz"/>
        <w:sz w:val="56"/>
      </w:rPr>
      <w:t></w:t>
    </w:r>
    <w:r>
      <w:rPr>
        <w:noProof/>
        <w:sz w:val="20"/>
        <w:lang w:val="en-US"/>
      </w:rPr>
      <w:drawing>
        <wp:anchor distT="0" distB="0" distL="114300" distR="114300" simplePos="0" relativeHeight="251658752" behindDoc="0" locked="0" layoutInCell="1" allowOverlap="1">
          <wp:simplePos x="0" y="0"/>
          <wp:positionH relativeFrom="margin">
            <wp:posOffset>5490845</wp:posOffset>
          </wp:positionH>
          <wp:positionV relativeFrom="margin">
            <wp:posOffset>8028940</wp:posOffset>
          </wp:positionV>
          <wp:extent cx="638175" cy="638175"/>
          <wp:effectExtent l="0" t="0" r="9525" b="9525"/>
          <wp:wrapNone/>
          <wp:docPr id="2" name="Image 2" descr="http://undocs.org/m2/QRCode.ashx?DS=A/HRC/29/4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4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758" w:rsidRPr="00D27D5E" w:rsidRDefault="00C01758" w:rsidP="00D27D5E">
      <w:pPr>
        <w:tabs>
          <w:tab w:val="right" w:pos="2155"/>
        </w:tabs>
        <w:spacing w:after="80"/>
        <w:ind w:left="680"/>
        <w:rPr>
          <w:u w:val="single"/>
        </w:rPr>
      </w:pPr>
      <w:r>
        <w:rPr>
          <w:u w:val="single"/>
        </w:rPr>
        <w:tab/>
      </w:r>
    </w:p>
  </w:footnote>
  <w:footnote w:type="continuationSeparator" w:id="0">
    <w:p w:rsidR="00C01758" w:rsidRPr="00D72E7E" w:rsidRDefault="00C01758" w:rsidP="00D72E7E">
      <w:pPr>
        <w:tabs>
          <w:tab w:val="right" w:pos="2155"/>
        </w:tabs>
        <w:spacing w:after="80"/>
        <w:ind w:left="680"/>
        <w:rPr>
          <w:u w:val="single"/>
        </w:rPr>
      </w:pPr>
      <w:r w:rsidRPr="00D72E7E">
        <w:rPr>
          <w:u w:val="single"/>
        </w:rPr>
        <w:tab/>
      </w:r>
    </w:p>
  </w:footnote>
  <w:footnote w:type="continuationNotice" w:id="1">
    <w:p w:rsidR="00C01758" w:rsidRDefault="00C01758"/>
  </w:footnote>
  <w:footnote w:id="2">
    <w:p w:rsidR="00723CCE" w:rsidRPr="008D41FA" w:rsidRDefault="00723CCE">
      <w:pPr>
        <w:pStyle w:val="FootnoteText"/>
        <w:rPr>
          <w:lang w:val="fr-CH"/>
        </w:rPr>
      </w:pPr>
      <w:r w:rsidRPr="008D0298">
        <w:rPr>
          <w:rStyle w:val="FootnoteReference"/>
        </w:rPr>
        <w:tab/>
      </w:r>
      <w:r w:rsidRPr="008D0298">
        <w:rPr>
          <w:rStyle w:val="FootnoteReference"/>
          <w:sz w:val="20"/>
          <w:vertAlign w:val="baseline"/>
        </w:rPr>
        <w:t>*</w:t>
      </w:r>
      <w:r w:rsidRPr="008D0298">
        <w:rPr>
          <w:rStyle w:val="FootnoteReference"/>
          <w:sz w:val="20"/>
          <w:vertAlign w:val="baseline"/>
        </w:rPr>
        <w:tab/>
      </w:r>
      <w:r w:rsidRPr="008D0298">
        <w:t>Retirage pour raisons techniques le 18 mai 2015.</w:t>
      </w:r>
    </w:p>
  </w:footnote>
  <w:footnote w:id="3">
    <w:p w:rsidR="001F1655" w:rsidRPr="006F0F1B" w:rsidRDefault="001F1655" w:rsidP="002F6A03">
      <w:pPr>
        <w:pStyle w:val="FootnoteText"/>
        <w:rPr>
          <w:szCs w:val="18"/>
          <w:lang w:val="fr-FR"/>
        </w:rPr>
      </w:pPr>
      <w:r>
        <w:rPr>
          <w:lang w:val="fr-CH"/>
        </w:rPr>
        <w:tab/>
      </w:r>
      <w:r w:rsidRPr="006F0F1B">
        <w:rPr>
          <w:rStyle w:val="FootnoteReference"/>
          <w:szCs w:val="18"/>
          <w:lang w:val="fr-FR"/>
        </w:rPr>
        <w:footnoteRef/>
      </w:r>
      <w:r w:rsidRPr="006F0F1B">
        <w:rPr>
          <w:szCs w:val="18"/>
          <w:lang w:val="fr-FR"/>
        </w:rPr>
        <w:tab/>
      </w:r>
      <w:r w:rsidRPr="002F6A03">
        <w:rPr>
          <w:szCs w:val="18"/>
          <w:lang w:val="fr-FR"/>
        </w:rPr>
        <w:t xml:space="preserve">Voir </w:t>
      </w:r>
      <w:hyperlink r:id="rId1" w:history="1">
        <w:r w:rsidRPr="00273ABE">
          <w:rPr>
            <w:szCs w:val="18"/>
            <w:lang w:val="fr-FR"/>
          </w:rPr>
          <w:t>www.ohchr.org/en/issues/women/wgwomen/pages/wgwomenindex.aspx</w:t>
        </w:r>
      </w:hyperlink>
      <w:r w:rsidRPr="006F0F1B">
        <w:rPr>
          <w:szCs w:val="18"/>
          <w:lang w:val="fr-FR"/>
        </w:rPr>
        <w:t>.</w:t>
      </w:r>
    </w:p>
  </w:footnote>
  <w:footnote w:id="4">
    <w:p w:rsidR="001F1655" w:rsidRPr="00E73028" w:rsidRDefault="001F1655" w:rsidP="00A27B94">
      <w:pPr>
        <w:pStyle w:val="FootnoteText"/>
        <w:rPr>
          <w:szCs w:val="18"/>
          <w:lang w:val="fr-FR"/>
        </w:rPr>
      </w:pPr>
      <w:r w:rsidRPr="006F0F1B">
        <w:rPr>
          <w:szCs w:val="18"/>
          <w:lang w:val="fr-FR"/>
        </w:rPr>
        <w:tab/>
      </w:r>
      <w:r w:rsidRPr="006F0F1B">
        <w:rPr>
          <w:rStyle w:val="FootnoteReference"/>
          <w:szCs w:val="18"/>
          <w:lang w:val="fr-FR"/>
        </w:rPr>
        <w:footnoteRef/>
      </w:r>
      <w:r w:rsidRPr="006F0F1B">
        <w:rPr>
          <w:szCs w:val="18"/>
          <w:lang w:val="fr-FR"/>
        </w:rPr>
        <w:tab/>
      </w:r>
      <w:r w:rsidRPr="00DA64F5">
        <w:rPr>
          <w:szCs w:val="18"/>
          <w:lang w:val="fr-FR"/>
        </w:rPr>
        <w:t>Comité des droits économiques, sociaux et culturels</w:t>
      </w:r>
      <w:r w:rsidRPr="00E32163">
        <w:rPr>
          <w:szCs w:val="18"/>
          <w:lang w:val="fr-FR"/>
        </w:rPr>
        <w:t>, observation générale n</w:t>
      </w:r>
      <w:r w:rsidRPr="0016746E">
        <w:rPr>
          <w:szCs w:val="18"/>
          <w:vertAlign w:val="superscript"/>
          <w:lang w:val="fr-FR"/>
        </w:rPr>
        <w:t>o</w:t>
      </w:r>
      <w:r w:rsidRPr="0016746E">
        <w:rPr>
          <w:szCs w:val="18"/>
          <w:lang w:val="fr-FR"/>
        </w:rPr>
        <w:t> 21, par. 11</w:t>
      </w:r>
      <w:r w:rsidRPr="00E73028">
        <w:rPr>
          <w:szCs w:val="18"/>
          <w:lang w:val="fr-FR"/>
        </w:rPr>
        <w:t>.</w:t>
      </w:r>
    </w:p>
  </w:footnote>
  <w:footnote w:id="5">
    <w:p w:rsidR="001F1655" w:rsidRPr="00CD2281" w:rsidRDefault="001F1655" w:rsidP="004740EB">
      <w:pPr>
        <w:pStyle w:val="FootnoteText"/>
        <w:rPr>
          <w:szCs w:val="18"/>
          <w:lang w:val="fr-FR"/>
        </w:rPr>
      </w:pPr>
      <w:r w:rsidRPr="00E73028">
        <w:rPr>
          <w:szCs w:val="18"/>
          <w:lang w:val="fr-FR"/>
        </w:rPr>
        <w:tab/>
      </w:r>
      <w:r w:rsidRPr="0016746E">
        <w:rPr>
          <w:rStyle w:val="FootnoteReference"/>
          <w:szCs w:val="18"/>
          <w:lang w:val="fr-FR"/>
        </w:rPr>
        <w:footnoteRef/>
      </w:r>
      <w:r w:rsidRPr="0016746E">
        <w:rPr>
          <w:szCs w:val="18"/>
          <w:lang w:val="fr-FR"/>
        </w:rPr>
        <w:tab/>
        <w:t xml:space="preserve">La culture est entendue comme </w:t>
      </w:r>
      <w:r w:rsidRPr="00E73028">
        <w:rPr>
          <w:szCs w:val="18"/>
          <w:lang w:val="fr-FR"/>
        </w:rPr>
        <w:t>macro</w:t>
      </w:r>
      <w:r w:rsidRPr="004D6249">
        <w:rPr>
          <w:szCs w:val="18"/>
          <w:lang w:val="fr-FR"/>
        </w:rPr>
        <w:t>concept du comportement humain. La question de la participation des femmes dans les activités culturelles ne sera pas analysée. Le Groupe</w:t>
      </w:r>
      <w:r>
        <w:rPr>
          <w:szCs w:val="18"/>
          <w:lang w:val="fr-FR"/>
        </w:rPr>
        <w:t xml:space="preserve"> de travail</w:t>
      </w:r>
      <w:r w:rsidRPr="004D6249">
        <w:rPr>
          <w:szCs w:val="18"/>
          <w:lang w:val="fr-FR"/>
        </w:rPr>
        <w:t xml:space="preserve"> se réfère aux travaux de la Rapporteuse sp</w:t>
      </w:r>
      <w:r w:rsidRPr="00CD2281">
        <w:rPr>
          <w:szCs w:val="18"/>
          <w:lang w:val="fr-FR"/>
        </w:rPr>
        <w:t xml:space="preserve">éciale dans le domaine des droits culturels et soutient pleinement l’application de ses recommandations (voir </w:t>
      </w:r>
      <w:r w:rsidRPr="00CD2281">
        <w:rPr>
          <w:bCs/>
          <w:szCs w:val="18"/>
          <w:lang w:val="fr-FR" w:eastAsia="en-GB"/>
        </w:rPr>
        <w:t>A/67/287).</w:t>
      </w:r>
    </w:p>
  </w:footnote>
  <w:footnote w:id="6">
    <w:p w:rsidR="001F1655" w:rsidRPr="00E32163" w:rsidRDefault="001F1655" w:rsidP="00A27B94">
      <w:pPr>
        <w:pStyle w:val="FootnoteText"/>
        <w:rPr>
          <w:szCs w:val="18"/>
          <w:lang w:val="fr-FR"/>
        </w:rPr>
      </w:pPr>
      <w:r w:rsidRPr="00CD2281">
        <w:rPr>
          <w:szCs w:val="18"/>
          <w:lang w:val="fr-FR"/>
        </w:rPr>
        <w:tab/>
      </w:r>
      <w:r w:rsidRPr="0016746E">
        <w:rPr>
          <w:rStyle w:val="FootnoteReference"/>
          <w:szCs w:val="18"/>
          <w:lang w:val="fr-FR"/>
        </w:rPr>
        <w:footnoteRef/>
      </w:r>
      <w:r w:rsidRPr="0016746E">
        <w:rPr>
          <w:szCs w:val="18"/>
          <w:lang w:val="fr-FR"/>
        </w:rPr>
        <w:tab/>
        <w:t xml:space="preserve">Comité </w:t>
      </w:r>
      <w:r w:rsidRPr="00E73028">
        <w:rPr>
          <w:szCs w:val="18"/>
          <w:lang w:val="fr-FR"/>
        </w:rPr>
        <w:t xml:space="preserve">des droits économiques, sociaux et culturels, </w:t>
      </w:r>
      <w:r w:rsidRPr="00273ABE">
        <w:rPr>
          <w:szCs w:val="18"/>
          <w:lang w:val="fr-FR"/>
        </w:rPr>
        <w:t>o</w:t>
      </w:r>
      <w:r w:rsidRPr="00DA64F5">
        <w:rPr>
          <w:szCs w:val="18"/>
          <w:lang w:val="fr-FR"/>
        </w:rPr>
        <w:t>bservation générale n</w:t>
      </w:r>
      <w:r w:rsidRPr="00DA64F5">
        <w:rPr>
          <w:szCs w:val="18"/>
          <w:vertAlign w:val="superscript"/>
          <w:lang w:val="fr-FR"/>
        </w:rPr>
        <w:t>o</w:t>
      </w:r>
      <w:r w:rsidRPr="00E32163">
        <w:rPr>
          <w:szCs w:val="18"/>
          <w:lang w:val="fr-FR"/>
        </w:rPr>
        <w:t> 21, par. 11.</w:t>
      </w:r>
    </w:p>
  </w:footnote>
  <w:footnote w:id="7">
    <w:p w:rsidR="001F1655" w:rsidRPr="00CD2281" w:rsidRDefault="001F1655" w:rsidP="006F0F1B">
      <w:pPr>
        <w:pStyle w:val="FootnoteText"/>
        <w:rPr>
          <w:szCs w:val="18"/>
          <w:lang w:val="fr-FR"/>
        </w:rPr>
      </w:pPr>
      <w:r w:rsidRPr="00E73028">
        <w:rPr>
          <w:szCs w:val="18"/>
          <w:lang w:val="fr-FR"/>
        </w:rPr>
        <w:tab/>
      </w:r>
      <w:r w:rsidRPr="00E73028">
        <w:rPr>
          <w:rStyle w:val="FootnoteReference"/>
          <w:szCs w:val="18"/>
          <w:lang w:val="fr-FR"/>
        </w:rPr>
        <w:footnoteRef/>
      </w:r>
      <w:r w:rsidRPr="00E73028">
        <w:rPr>
          <w:szCs w:val="18"/>
          <w:lang w:val="fr-FR"/>
        </w:rPr>
        <w:tab/>
      </w:r>
      <w:r w:rsidRPr="004D6249">
        <w:rPr>
          <w:szCs w:val="18"/>
          <w:lang w:val="fr-FR" w:eastAsia="en-GB"/>
        </w:rPr>
        <w:t>A/67/</w:t>
      </w:r>
      <w:r w:rsidRPr="00CD2281">
        <w:rPr>
          <w:szCs w:val="18"/>
          <w:lang w:val="fr-FR"/>
        </w:rPr>
        <w:t>287</w:t>
      </w:r>
      <w:r w:rsidRPr="00CD2281">
        <w:rPr>
          <w:szCs w:val="18"/>
          <w:lang w:val="fr-FR" w:eastAsia="en-GB"/>
        </w:rPr>
        <w:t>, par. 2.</w:t>
      </w:r>
    </w:p>
  </w:footnote>
  <w:footnote w:id="8">
    <w:p w:rsidR="001F1655" w:rsidRPr="006F0F1B" w:rsidRDefault="001F1655" w:rsidP="004740EB">
      <w:pPr>
        <w:pStyle w:val="FootnoteText"/>
        <w:rPr>
          <w:szCs w:val="18"/>
          <w:lang w:val="fr-FR"/>
        </w:rPr>
      </w:pPr>
      <w:r w:rsidRPr="00CD2281">
        <w:rPr>
          <w:szCs w:val="18"/>
          <w:lang w:val="fr-FR"/>
        </w:rPr>
        <w:tab/>
      </w:r>
      <w:r w:rsidRPr="0016746E">
        <w:rPr>
          <w:rStyle w:val="FootnoteReference"/>
          <w:szCs w:val="18"/>
          <w:lang w:val="fr-FR"/>
        </w:rPr>
        <w:footnoteRef/>
      </w:r>
      <w:r w:rsidRPr="0016746E">
        <w:rPr>
          <w:szCs w:val="18"/>
          <w:lang w:val="fr-FR"/>
        </w:rPr>
        <w:tab/>
        <w:t xml:space="preserve">Comité </w:t>
      </w:r>
      <w:r w:rsidRPr="00E73028">
        <w:rPr>
          <w:rFonts w:eastAsia="Calibri"/>
          <w:lang w:val="fr-FR"/>
        </w:rPr>
        <w:t>pour l’élimination de la discrimination à l’égard des femmes</w:t>
      </w:r>
      <w:r w:rsidRPr="004D6249">
        <w:rPr>
          <w:szCs w:val="18"/>
          <w:lang w:val="fr-FR"/>
        </w:rPr>
        <w:t xml:space="preserve">, </w:t>
      </w:r>
      <w:r w:rsidRPr="00CD2281">
        <w:rPr>
          <w:szCs w:val="18"/>
          <w:lang w:val="fr-FR"/>
        </w:rPr>
        <w:t>recommandation générale n</w:t>
      </w:r>
      <w:r w:rsidRPr="00CD2281">
        <w:rPr>
          <w:szCs w:val="18"/>
          <w:vertAlign w:val="superscript"/>
          <w:lang w:val="fr-FR"/>
        </w:rPr>
        <w:t>o</w:t>
      </w:r>
      <w:r w:rsidRPr="00CD2281">
        <w:rPr>
          <w:szCs w:val="18"/>
          <w:lang w:val="fr-FR"/>
        </w:rPr>
        <w:t> 28, par. 5.</w:t>
      </w:r>
    </w:p>
  </w:footnote>
  <w:footnote w:id="9">
    <w:p w:rsidR="001F1655" w:rsidRPr="00E32163" w:rsidRDefault="001F1655" w:rsidP="004575B5">
      <w:pPr>
        <w:pStyle w:val="FootnoteText"/>
        <w:rPr>
          <w:szCs w:val="18"/>
          <w:lang w:val="fr-FR"/>
        </w:rPr>
      </w:pPr>
      <w:r w:rsidRPr="006F0F1B">
        <w:rPr>
          <w:szCs w:val="18"/>
          <w:lang w:val="fr-FR"/>
        </w:rPr>
        <w:tab/>
      </w:r>
      <w:r w:rsidRPr="006F0F1B">
        <w:rPr>
          <w:rStyle w:val="FootnoteReference"/>
          <w:szCs w:val="18"/>
          <w:lang w:val="fr-FR"/>
        </w:rPr>
        <w:footnoteRef/>
      </w:r>
      <w:r w:rsidRPr="006F0F1B">
        <w:rPr>
          <w:szCs w:val="18"/>
          <w:lang w:val="fr-FR"/>
        </w:rPr>
        <w:tab/>
      </w:r>
      <w:r w:rsidRPr="00DA64F5">
        <w:rPr>
          <w:szCs w:val="18"/>
          <w:lang w:val="fr-FR"/>
        </w:rPr>
        <w:t>F</w:t>
      </w:r>
      <w:r w:rsidRPr="00273ABE">
        <w:rPr>
          <w:szCs w:val="18"/>
          <w:lang w:val="fr-FR"/>
        </w:rPr>
        <w:t>rances Raday</w:t>
      </w:r>
      <w:r>
        <w:rPr>
          <w:szCs w:val="18"/>
          <w:lang w:val="fr-FR"/>
        </w:rPr>
        <w:t>,</w:t>
      </w:r>
      <w:r w:rsidRPr="00DA64F5">
        <w:rPr>
          <w:szCs w:val="18"/>
          <w:lang w:val="fr-FR"/>
        </w:rPr>
        <w:t xml:space="preserve"> </w:t>
      </w:r>
      <w:r w:rsidRPr="00DA64F5">
        <w:rPr>
          <w:rFonts w:eastAsia="Calibri"/>
          <w:lang w:val="fr-FR"/>
        </w:rPr>
        <w:t>«</w:t>
      </w:r>
      <w:r w:rsidRPr="00DA64F5">
        <w:rPr>
          <w:szCs w:val="18"/>
          <w:lang w:val="fr-FR"/>
        </w:rPr>
        <w:t>Culture, religion and gender</w:t>
      </w:r>
      <w:r w:rsidRPr="00DA64F5">
        <w:rPr>
          <w:rFonts w:eastAsia="Calibri"/>
          <w:lang w:val="fr-FR"/>
        </w:rPr>
        <w:t>»</w:t>
      </w:r>
      <w:r w:rsidRPr="00E32163">
        <w:rPr>
          <w:szCs w:val="18"/>
          <w:lang w:val="fr-FR"/>
        </w:rPr>
        <w:t xml:space="preserve">, </w:t>
      </w:r>
      <w:r w:rsidRPr="00273ABE">
        <w:rPr>
          <w:i/>
          <w:iCs/>
          <w:szCs w:val="18"/>
          <w:lang w:val="fr-FR"/>
        </w:rPr>
        <w:t>International Journal of Constitutional Law</w:t>
      </w:r>
      <w:r w:rsidRPr="00273ABE">
        <w:rPr>
          <w:szCs w:val="18"/>
          <w:lang w:val="fr-FR"/>
        </w:rPr>
        <w:t>, vol. 1, n</w:t>
      </w:r>
      <w:r w:rsidRPr="00273ABE">
        <w:rPr>
          <w:szCs w:val="18"/>
          <w:vertAlign w:val="superscript"/>
          <w:lang w:val="fr-FR"/>
        </w:rPr>
        <w:t>o</w:t>
      </w:r>
      <w:r w:rsidRPr="00273ABE">
        <w:rPr>
          <w:szCs w:val="18"/>
          <w:lang w:val="fr-FR"/>
        </w:rPr>
        <w:t xml:space="preserve"> 4, </w:t>
      </w:r>
      <w:r w:rsidRPr="00DA64F5">
        <w:rPr>
          <w:szCs w:val="18"/>
          <w:lang w:val="fr-FR"/>
        </w:rPr>
        <w:t>O</w:t>
      </w:r>
      <w:r w:rsidRPr="00273ABE">
        <w:rPr>
          <w:szCs w:val="18"/>
          <w:lang w:val="fr-FR"/>
        </w:rPr>
        <w:t xml:space="preserve">xford University Press </w:t>
      </w:r>
      <w:r w:rsidRPr="00DA64F5">
        <w:rPr>
          <w:szCs w:val="18"/>
          <w:lang w:val="fr-FR"/>
        </w:rPr>
        <w:t xml:space="preserve">and New York University </w:t>
      </w:r>
      <w:r w:rsidRPr="00273ABE">
        <w:rPr>
          <w:szCs w:val="18"/>
          <w:lang w:val="fr-FR"/>
        </w:rPr>
        <w:t xml:space="preserve">School </w:t>
      </w:r>
      <w:r w:rsidRPr="00DA64F5">
        <w:rPr>
          <w:szCs w:val="18"/>
          <w:lang w:val="fr-FR"/>
        </w:rPr>
        <w:t>of law</w:t>
      </w:r>
      <w:r w:rsidRPr="00273ABE">
        <w:rPr>
          <w:szCs w:val="18"/>
          <w:lang w:val="fr-FR"/>
        </w:rPr>
        <w:t>,</w:t>
      </w:r>
      <w:r w:rsidRPr="00DA64F5">
        <w:rPr>
          <w:szCs w:val="18"/>
          <w:lang w:val="fr-FR"/>
        </w:rPr>
        <w:t xml:space="preserve"> 2003</w:t>
      </w:r>
      <w:r w:rsidRPr="00E32163">
        <w:rPr>
          <w:szCs w:val="18"/>
          <w:lang w:val="fr-FR"/>
        </w:rPr>
        <w:t>, p. 668.</w:t>
      </w:r>
    </w:p>
  </w:footnote>
  <w:footnote w:id="10">
    <w:p w:rsidR="001F1655" w:rsidRPr="00E73028" w:rsidRDefault="001F1655" w:rsidP="00A27B94">
      <w:pPr>
        <w:pStyle w:val="FootnoteText"/>
        <w:rPr>
          <w:szCs w:val="18"/>
          <w:lang w:val="fr-FR"/>
        </w:rPr>
      </w:pPr>
      <w:r w:rsidRPr="00E73028">
        <w:rPr>
          <w:szCs w:val="18"/>
          <w:lang w:val="fr-FR"/>
        </w:rPr>
        <w:tab/>
      </w:r>
      <w:r w:rsidRPr="00E73028">
        <w:rPr>
          <w:rStyle w:val="FootnoteReference"/>
          <w:szCs w:val="18"/>
          <w:lang w:val="fr-FR"/>
        </w:rPr>
        <w:footnoteRef/>
      </w:r>
      <w:r w:rsidRPr="00E73028">
        <w:rPr>
          <w:szCs w:val="18"/>
          <w:lang w:val="fr-FR"/>
        </w:rPr>
        <w:tab/>
        <w:t xml:space="preserve">Due Diligence Project, </w:t>
      </w:r>
      <w:r w:rsidRPr="004D6249">
        <w:rPr>
          <w:rFonts w:eastAsia="Calibri"/>
          <w:lang w:val="fr-FR"/>
        </w:rPr>
        <w:t>«</w:t>
      </w:r>
      <w:r w:rsidRPr="00CD2281">
        <w:rPr>
          <w:szCs w:val="18"/>
          <w:lang w:val="fr-FR"/>
        </w:rPr>
        <w:t>The Due Diligence Principle and the Role of the State: Discrimination against Women in Family and Cultural Life</w:t>
      </w:r>
      <w:r w:rsidRPr="00CD2281">
        <w:rPr>
          <w:rFonts w:eastAsia="Calibri"/>
          <w:lang w:val="fr-FR"/>
        </w:rPr>
        <w:t>»,</w:t>
      </w:r>
      <w:r w:rsidRPr="00CD2281">
        <w:rPr>
          <w:szCs w:val="18"/>
          <w:lang w:val="fr-FR"/>
        </w:rPr>
        <w:t xml:space="preserve"> </w:t>
      </w:r>
      <w:r w:rsidRPr="00E32163">
        <w:rPr>
          <w:szCs w:val="18"/>
          <w:lang w:val="fr-FR"/>
        </w:rPr>
        <w:t xml:space="preserve">janvier 2015, </w:t>
      </w:r>
      <w:r w:rsidRPr="0016746E">
        <w:rPr>
          <w:szCs w:val="18"/>
          <w:lang w:val="fr-FR"/>
        </w:rPr>
        <w:t>p. 6.</w:t>
      </w:r>
    </w:p>
  </w:footnote>
  <w:footnote w:id="11">
    <w:p w:rsidR="001F1655" w:rsidRPr="00CD2281" w:rsidRDefault="001F1655" w:rsidP="00A40366">
      <w:pPr>
        <w:pStyle w:val="FootnoteText"/>
        <w:rPr>
          <w:szCs w:val="18"/>
          <w:lang w:val="fr-FR"/>
        </w:rPr>
      </w:pPr>
      <w:r w:rsidRPr="00E73028">
        <w:rPr>
          <w:szCs w:val="18"/>
          <w:lang w:val="fr-FR"/>
        </w:rPr>
        <w:tab/>
      </w:r>
      <w:r w:rsidRPr="0016746E">
        <w:rPr>
          <w:rStyle w:val="FootnoteReference"/>
          <w:szCs w:val="18"/>
          <w:lang w:val="fr-FR"/>
        </w:rPr>
        <w:footnoteRef/>
      </w:r>
      <w:r w:rsidRPr="0016746E">
        <w:rPr>
          <w:szCs w:val="18"/>
          <w:lang w:val="fr-FR"/>
        </w:rPr>
        <w:tab/>
        <w:t xml:space="preserve">Ibid., </w:t>
      </w:r>
      <w:r w:rsidRPr="00E73028">
        <w:rPr>
          <w:szCs w:val="18"/>
          <w:lang w:val="fr-FR"/>
        </w:rPr>
        <w:t>p. 5</w:t>
      </w:r>
      <w:r w:rsidRPr="00CD2281">
        <w:rPr>
          <w:szCs w:val="18"/>
          <w:lang w:val="fr-FR"/>
        </w:rPr>
        <w:t>.</w:t>
      </w:r>
    </w:p>
  </w:footnote>
  <w:footnote w:id="12">
    <w:p w:rsidR="001F1655" w:rsidRPr="00CD2281" w:rsidRDefault="001F1655" w:rsidP="004740EB">
      <w:pPr>
        <w:pStyle w:val="FootnoteText"/>
        <w:rPr>
          <w:szCs w:val="18"/>
          <w:lang w:val="fr-FR"/>
        </w:rPr>
      </w:pPr>
      <w:r w:rsidRPr="00CD2281">
        <w:rPr>
          <w:szCs w:val="18"/>
          <w:lang w:val="fr-FR"/>
        </w:rPr>
        <w:tab/>
      </w:r>
      <w:r w:rsidRPr="0016746E">
        <w:rPr>
          <w:rStyle w:val="FootnoteReference"/>
          <w:szCs w:val="18"/>
          <w:lang w:val="fr-FR"/>
        </w:rPr>
        <w:footnoteRef/>
      </w:r>
      <w:r w:rsidRPr="0016746E">
        <w:rPr>
          <w:szCs w:val="18"/>
          <w:lang w:val="fr-FR"/>
        </w:rPr>
        <w:tab/>
        <w:t xml:space="preserve">Voir </w:t>
      </w:r>
      <w:r w:rsidRPr="00E73028">
        <w:rPr>
          <w:szCs w:val="18"/>
          <w:lang w:val="fr-FR"/>
        </w:rPr>
        <w:t>A/68/290, par. 30,</w:t>
      </w:r>
      <w:r w:rsidRPr="004D6249">
        <w:rPr>
          <w:szCs w:val="18"/>
          <w:lang w:val="fr-FR"/>
        </w:rPr>
        <w:t xml:space="preserve"> </w:t>
      </w:r>
      <w:r w:rsidRPr="00CD2281">
        <w:rPr>
          <w:rStyle w:val="FootnoteReference"/>
          <w:szCs w:val="18"/>
          <w:vertAlign w:val="baseline"/>
          <w:lang w:val="fr-FR"/>
        </w:rPr>
        <w:t>A/67/287</w:t>
      </w:r>
      <w:r w:rsidRPr="00CD2281">
        <w:rPr>
          <w:szCs w:val="18"/>
          <w:lang w:val="fr-FR"/>
        </w:rPr>
        <w:t xml:space="preserve">, par. 3, et </w:t>
      </w:r>
      <w:r w:rsidRPr="00CD2281">
        <w:rPr>
          <w:rStyle w:val="FootnoteReference"/>
          <w:szCs w:val="18"/>
          <w:vertAlign w:val="baseline"/>
          <w:lang w:val="fr-FR"/>
        </w:rPr>
        <w:t>A/HRC/26/22, par. 13</w:t>
      </w:r>
      <w:r w:rsidRPr="00CD2281">
        <w:rPr>
          <w:szCs w:val="18"/>
          <w:lang w:val="fr-FR"/>
        </w:rPr>
        <w:t>.</w:t>
      </w:r>
    </w:p>
  </w:footnote>
  <w:footnote w:id="13">
    <w:p w:rsidR="001F1655" w:rsidRPr="00CD2281" w:rsidRDefault="001F1655" w:rsidP="00A27B94">
      <w:pPr>
        <w:pStyle w:val="FootnoteText"/>
        <w:rPr>
          <w:szCs w:val="18"/>
          <w:lang w:val="fr-FR"/>
        </w:rPr>
      </w:pPr>
      <w:r w:rsidRPr="00CD2281">
        <w:rPr>
          <w:szCs w:val="18"/>
          <w:lang w:val="fr-FR"/>
        </w:rPr>
        <w:tab/>
      </w:r>
      <w:r w:rsidRPr="0016746E">
        <w:rPr>
          <w:rStyle w:val="FootnoteReference"/>
          <w:szCs w:val="18"/>
          <w:lang w:val="fr-FR"/>
        </w:rPr>
        <w:footnoteRef/>
      </w:r>
      <w:r w:rsidRPr="0016746E">
        <w:rPr>
          <w:szCs w:val="18"/>
          <w:lang w:val="fr-FR"/>
        </w:rPr>
        <w:tab/>
        <w:t xml:space="preserve">Comité des droits de l’homme, </w:t>
      </w:r>
      <w:r w:rsidRPr="00E73028">
        <w:rPr>
          <w:szCs w:val="18"/>
          <w:lang w:val="fr-FR"/>
        </w:rPr>
        <w:t>o</w:t>
      </w:r>
      <w:r w:rsidRPr="00E73028">
        <w:rPr>
          <w:rStyle w:val="FootnoteReference"/>
          <w:szCs w:val="18"/>
          <w:vertAlign w:val="baseline"/>
          <w:lang w:val="fr-FR"/>
        </w:rPr>
        <w:t xml:space="preserve">bservation générale </w:t>
      </w:r>
      <w:r w:rsidRPr="004D6249">
        <w:rPr>
          <w:szCs w:val="18"/>
          <w:lang w:val="fr-FR"/>
        </w:rPr>
        <w:t>n</w:t>
      </w:r>
      <w:r w:rsidRPr="00CD2281">
        <w:rPr>
          <w:szCs w:val="18"/>
          <w:vertAlign w:val="superscript"/>
          <w:lang w:val="fr-FR"/>
        </w:rPr>
        <w:t>o</w:t>
      </w:r>
      <w:r w:rsidRPr="00CD2281">
        <w:rPr>
          <w:szCs w:val="18"/>
          <w:lang w:val="fr-FR"/>
        </w:rPr>
        <w:t> </w:t>
      </w:r>
      <w:r w:rsidRPr="00CD2281">
        <w:rPr>
          <w:rStyle w:val="FootnoteReference"/>
          <w:szCs w:val="18"/>
          <w:vertAlign w:val="baseline"/>
          <w:lang w:val="fr-FR"/>
        </w:rPr>
        <w:t>28, par. 21</w:t>
      </w:r>
      <w:r w:rsidRPr="00CD2281">
        <w:rPr>
          <w:szCs w:val="18"/>
          <w:lang w:val="fr-FR"/>
        </w:rPr>
        <w:t>; Comité des droits économiques, sociaux et culturels, observation générale n</w:t>
      </w:r>
      <w:r w:rsidRPr="00CD2281">
        <w:rPr>
          <w:szCs w:val="18"/>
          <w:vertAlign w:val="superscript"/>
          <w:lang w:val="fr-FR"/>
        </w:rPr>
        <w:t>o</w:t>
      </w:r>
      <w:r w:rsidRPr="00CD2281">
        <w:rPr>
          <w:szCs w:val="18"/>
          <w:lang w:val="fr-FR"/>
        </w:rPr>
        <w:t> 21, par. 18 et 64.</w:t>
      </w:r>
    </w:p>
  </w:footnote>
  <w:footnote w:id="14">
    <w:p w:rsidR="001F1655" w:rsidRPr="006F0F1B" w:rsidRDefault="001F1655" w:rsidP="00A27B94">
      <w:pPr>
        <w:pStyle w:val="FootnoteText"/>
        <w:rPr>
          <w:szCs w:val="18"/>
          <w:lang w:val="fr-FR"/>
        </w:rPr>
      </w:pPr>
      <w:r w:rsidRPr="00CD2281">
        <w:rPr>
          <w:szCs w:val="18"/>
          <w:lang w:val="fr-FR"/>
        </w:rPr>
        <w:tab/>
      </w:r>
      <w:r w:rsidRPr="0016746E">
        <w:rPr>
          <w:rStyle w:val="FootnoteReference"/>
          <w:szCs w:val="18"/>
          <w:lang w:val="fr-FR"/>
        </w:rPr>
        <w:footnoteRef/>
      </w:r>
      <w:r w:rsidRPr="0016746E">
        <w:rPr>
          <w:szCs w:val="18"/>
          <w:lang w:val="fr-FR"/>
        </w:rPr>
        <w:tab/>
        <w:t>Comité des droits économiques, sociaux et culturels</w:t>
      </w:r>
      <w:r w:rsidRPr="00E73028">
        <w:rPr>
          <w:szCs w:val="18"/>
          <w:lang w:val="fr-FR"/>
        </w:rPr>
        <w:t xml:space="preserve">, </w:t>
      </w:r>
      <w:r w:rsidRPr="004D6249">
        <w:rPr>
          <w:szCs w:val="18"/>
          <w:lang w:val="fr-FR"/>
        </w:rPr>
        <w:t>o</w:t>
      </w:r>
      <w:r w:rsidRPr="00CD2281">
        <w:rPr>
          <w:szCs w:val="18"/>
          <w:lang w:val="fr-FR"/>
        </w:rPr>
        <w:t>bservation générale n</w:t>
      </w:r>
      <w:r w:rsidRPr="00CD2281">
        <w:rPr>
          <w:szCs w:val="18"/>
          <w:vertAlign w:val="superscript"/>
          <w:lang w:val="fr-FR"/>
        </w:rPr>
        <w:t>o</w:t>
      </w:r>
      <w:r w:rsidRPr="00CD2281">
        <w:rPr>
          <w:szCs w:val="18"/>
          <w:lang w:val="fr-FR"/>
        </w:rPr>
        <w:t> 21, par. 19</w:t>
      </w:r>
      <w:r w:rsidRPr="006F0F1B">
        <w:rPr>
          <w:szCs w:val="18"/>
          <w:lang w:val="fr-FR"/>
        </w:rPr>
        <w:t>.</w:t>
      </w:r>
    </w:p>
  </w:footnote>
  <w:footnote w:id="15">
    <w:p w:rsidR="001F1655" w:rsidRPr="00E32163" w:rsidRDefault="001F1655" w:rsidP="00A40366">
      <w:pPr>
        <w:pStyle w:val="FootnoteText"/>
        <w:rPr>
          <w:szCs w:val="18"/>
          <w:lang w:val="fr-FR"/>
        </w:rPr>
      </w:pPr>
      <w:r w:rsidRPr="006F0F1B">
        <w:rPr>
          <w:szCs w:val="18"/>
          <w:lang w:val="fr-FR"/>
        </w:rPr>
        <w:tab/>
      </w:r>
      <w:r w:rsidRPr="006F0F1B">
        <w:rPr>
          <w:rStyle w:val="FootnoteReference"/>
          <w:szCs w:val="18"/>
          <w:lang w:val="fr-FR"/>
        </w:rPr>
        <w:footnoteRef/>
      </w:r>
      <w:r w:rsidRPr="006F0F1B">
        <w:rPr>
          <w:szCs w:val="18"/>
          <w:lang w:val="fr-FR"/>
        </w:rPr>
        <w:tab/>
      </w:r>
      <w:r w:rsidRPr="00DA64F5">
        <w:rPr>
          <w:szCs w:val="18"/>
          <w:lang w:val="fr-FR"/>
        </w:rPr>
        <w:t xml:space="preserve">Comité </w:t>
      </w:r>
      <w:r w:rsidRPr="00DA64F5">
        <w:rPr>
          <w:rFonts w:eastAsia="Calibri"/>
          <w:lang w:val="fr-FR"/>
        </w:rPr>
        <w:t>pour l’élimination de la discrimination à l’égard des femmes</w:t>
      </w:r>
      <w:r w:rsidRPr="00E32163">
        <w:rPr>
          <w:szCs w:val="18"/>
          <w:lang w:val="fr-FR"/>
        </w:rPr>
        <w:t>/</w:t>
      </w:r>
      <w:r w:rsidRPr="0016746E">
        <w:rPr>
          <w:szCs w:val="18"/>
          <w:lang w:val="fr-FR"/>
        </w:rPr>
        <w:t xml:space="preserve">Comité des droits de l’enfant, </w:t>
      </w:r>
      <w:r w:rsidRPr="00E73028">
        <w:rPr>
          <w:szCs w:val="18"/>
          <w:lang w:val="fr-FR"/>
        </w:rPr>
        <w:t>recommandation générale/observation générale co</w:t>
      </w:r>
      <w:r w:rsidRPr="004D6249">
        <w:rPr>
          <w:szCs w:val="18"/>
          <w:lang w:val="fr-FR"/>
        </w:rPr>
        <w:t>njointe n</w:t>
      </w:r>
      <w:r w:rsidRPr="00CD2281">
        <w:rPr>
          <w:szCs w:val="18"/>
          <w:vertAlign w:val="superscript"/>
          <w:lang w:val="fr-FR"/>
        </w:rPr>
        <w:t>o</w:t>
      </w:r>
      <w:r w:rsidRPr="00CD2281">
        <w:rPr>
          <w:szCs w:val="18"/>
          <w:lang w:val="fr-FR"/>
        </w:rPr>
        <w:t> 31 du Comité pour l’élimination de la discrimination à l’égard des femmes et n</w:t>
      </w:r>
      <w:r w:rsidRPr="00CD2281">
        <w:rPr>
          <w:szCs w:val="18"/>
          <w:vertAlign w:val="superscript"/>
          <w:lang w:val="fr-FR"/>
        </w:rPr>
        <w:t>o</w:t>
      </w:r>
      <w:r w:rsidRPr="00CD2281">
        <w:rPr>
          <w:szCs w:val="18"/>
          <w:lang w:val="fr-FR"/>
        </w:rPr>
        <w:t> 18 du Comité des droits de l’enfant sur les pratique</w:t>
      </w:r>
      <w:r w:rsidRPr="00273ABE">
        <w:rPr>
          <w:szCs w:val="18"/>
          <w:lang w:val="fr-FR"/>
        </w:rPr>
        <w:t>s</w:t>
      </w:r>
      <w:r w:rsidRPr="00DA64F5">
        <w:rPr>
          <w:szCs w:val="18"/>
          <w:lang w:val="fr-FR"/>
        </w:rPr>
        <w:t xml:space="preserve"> préjudiciables, par. 6</w:t>
      </w:r>
      <w:r w:rsidRPr="00E32163">
        <w:rPr>
          <w:szCs w:val="18"/>
          <w:lang w:val="fr-FR"/>
        </w:rPr>
        <w:t>.</w:t>
      </w:r>
    </w:p>
  </w:footnote>
  <w:footnote w:id="16">
    <w:p w:rsidR="001F1655" w:rsidRPr="006F0F1B" w:rsidRDefault="001F1655" w:rsidP="00A34793">
      <w:pPr>
        <w:pStyle w:val="FootnoteText"/>
        <w:rPr>
          <w:szCs w:val="18"/>
          <w:lang w:val="fr-FR"/>
        </w:rPr>
      </w:pPr>
      <w:r w:rsidRPr="00E32163">
        <w:rPr>
          <w:szCs w:val="18"/>
          <w:lang w:val="fr-FR"/>
        </w:rPr>
        <w:tab/>
      </w:r>
      <w:r w:rsidRPr="00E32163">
        <w:rPr>
          <w:rStyle w:val="FootnoteReference"/>
          <w:szCs w:val="18"/>
          <w:lang w:val="fr-FR"/>
        </w:rPr>
        <w:footnoteRef/>
      </w:r>
      <w:r w:rsidRPr="0016746E">
        <w:rPr>
          <w:szCs w:val="18"/>
          <w:lang w:val="fr-FR"/>
        </w:rPr>
        <w:tab/>
        <w:t>Ibid., par. 7</w:t>
      </w:r>
      <w:r w:rsidRPr="00E73028">
        <w:rPr>
          <w:szCs w:val="18"/>
          <w:lang w:val="fr-FR"/>
        </w:rPr>
        <w:t xml:space="preserve"> et </w:t>
      </w:r>
      <w:r w:rsidRPr="004D6249">
        <w:rPr>
          <w:szCs w:val="18"/>
          <w:lang w:val="fr-FR"/>
        </w:rPr>
        <w:t>9.</w:t>
      </w:r>
    </w:p>
  </w:footnote>
  <w:footnote w:id="17">
    <w:p w:rsidR="001F1655" w:rsidRPr="00C1454D" w:rsidRDefault="001F1655" w:rsidP="00A34793">
      <w:pPr>
        <w:pStyle w:val="FootnoteText"/>
        <w:rPr>
          <w:szCs w:val="18"/>
          <w:lang w:val="fr-FR"/>
        </w:rPr>
      </w:pPr>
      <w:r w:rsidRPr="006F0F1B">
        <w:rPr>
          <w:szCs w:val="18"/>
          <w:lang w:val="fr-FR"/>
        </w:rPr>
        <w:tab/>
      </w:r>
      <w:r w:rsidRPr="006F0F1B">
        <w:rPr>
          <w:rStyle w:val="FootnoteReference"/>
          <w:szCs w:val="18"/>
          <w:lang w:val="fr-FR"/>
        </w:rPr>
        <w:footnoteRef/>
      </w:r>
      <w:r w:rsidRPr="006F0F1B">
        <w:rPr>
          <w:szCs w:val="18"/>
          <w:lang w:val="fr-FR"/>
        </w:rPr>
        <w:tab/>
      </w:r>
      <w:r w:rsidRPr="00C1454D">
        <w:rPr>
          <w:szCs w:val="18"/>
          <w:lang w:val="fr-FR"/>
        </w:rPr>
        <w:t>Ibid., par. 33.</w:t>
      </w:r>
    </w:p>
  </w:footnote>
  <w:footnote w:id="18">
    <w:p w:rsidR="001F1655" w:rsidRPr="006F0F1B" w:rsidRDefault="001F1655" w:rsidP="006F0F1B">
      <w:pPr>
        <w:pStyle w:val="FootnoteText"/>
        <w:rPr>
          <w:szCs w:val="18"/>
          <w:lang w:val="fr-FR"/>
        </w:rPr>
      </w:pPr>
      <w:r w:rsidRPr="00C1454D">
        <w:rPr>
          <w:szCs w:val="18"/>
          <w:lang w:val="fr-FR"/>
        </w:rPr>
        <w:tab/>
      </w:r>
      <w:r w:rsidRPr="00C1454D">
        <w:rPr>
          <w:rStyle w:val="FootnoteReference"/>
          <w:szCs w:val="18"/>
          <w:lang w:val="fr-FR"/>
        </w:rPr>
        <w:footnoteRef/>
      </w:r>
      <w:r w:rsidRPr="00C1454D">
        <w:rPr>
          <w:szCs w:val="18"/>
          <w:lang w:val="fr-FR"/>
        </w:rPr>
        <w:tab/>
        <w:t xml:space="preserve">Voir </w:t>
      </w:r>
      <w:r w:rsidRPr="00C1454D">
        <w:rPr>
          <w:bCs/>
          <w:szCs w:val="18"/>
          <w:lang w:val="fr-FR" w:eastAsia="en-GB"/>
        </w:rPr>
        <w:t>A/67/287, par. 3.</w:t>
      </w:r>
    </w:p>
  </w:footnote>
  <w:footnote w:id="19">
    <w:p w:rsidR="001F1655" w:rsidRPr="00CD2281" w:rsidRDefault="001F1655" w:rsidP="00862FBF">
      <w:pPr>
        <w:pStyle w:val="FootnoteText"/>
        <w:rPr>
          <w:szCs w:val="18"/>
          <w:lang w:val="fr-FR" w:eastAsia="en-GB"/>
        </w:rPr>
      </w:pPr>
      <w:r w:rsidRPr="006F0F1B">
        <w:rPr>
          <w:szCs w:val="18"/>
          <w:lang w:val="fr-FR"/>
        </w:rPr>
        <w:tab/>
      </w:r>
      <w:r w:rsidRPr="006F0F1B">
        <w:rPr>
          <w:rStyle w:val="FootnoteReference"/>
          <w:szCs w:val="18"/>
          <w:lang w:val="fr-FR"/>
        </w:rPr>
        <w:footnoteRef/>
      </w:r>
      <w:r w:rsidRPr="006F0F1B">
        <w:rPr>
          <w:szCs w:val="18"/>
          <w:lang w:val="fr-FR"/>
        </w:rPr>
        <w:tab/>
      </w:r>
      <w:r w:rsidRPr="00DA64F5">
        <w:rPr>
          <w:szCs w:val="18"/>
          <w:lang w:val="fr-FR"/>
        </w:rPr>
        <w:t>Voir Rapport d</w:t>
      </w:r>
      <w:r w:rsidRPr="00E32163">
        <w:rPr>
          <w:szCs w:val="18"/>
          <w:lang w:val="fr-FR"/>
        </w:rPr>
        <w:t>e la quatrième</w:t>
      </w:r>
      <w:r w:rsidRPr="0016746E">
        <w:rPr>
          <w:szCs w:val="18"/>
          <w:lang w:val="fr-FR"/>
        </w:rPr>
        <w:t> Conférence mondiale sur les femmes,</w:t>
      </w:r>
      <w:r w:rsidRPr="00E73028">
        <w:rPr>
          <w:szCs w:val="18"/>
          <w:lang w:val="fr-FR"/>
        </w:rPr>
        <w:t xml:space="preserve"> Beijing</w:t>
      </w:r>
      <w:r w:rsidRPr="00273ABE">
        <w:rPr>
          <w:szCs w:val="18"/>
          <w:lang w:val="fr-FR"/>
        </w:rPr>
        <w:t>,</w:t>
      </w:r>
      <w:r w:rsidRPr="00DA64F5">
        <w:rPr>
          <w:szCs w:val="18"/>
          <w:lang w:val="fr-FR"/>
        </w:rPr>
        <w:t xml:space="preserve"> 4-15 septembre </w:t>
      </w:r>
      <w:r w:rsidRPr="00E32163">
        <w:rPr>
          <w:szCs w:val="18"/>
          <w:lang w:val="fr-FR"/>
        </w:rPr>
        <w:t>1995</w:t>
      </w:r>
      <w:r w:rsidRPr="00273ABE">
        <w:rPr>
          <w:szCs w:val="18"/>
          <w:lang w:val="fr-FR"/>
        </w:rPr>
        <w:t xml:space="preserve"> (A/CONF.177/20/Rev.1)</w:t>
      </w:r>
      <w:r w:rsidRPr="00DA64F5">
        <w:rPr>
          <w:szCs w:val="18"/>
          <w:lang w:val="fr-FR"/>
        </w:rPr>
        <w:t xml:space="preserve">, </w:t>
      </w:r>
      <w:r w:rsidRPr="00273ABE">
        <w:rPr>
          <w:szCs w:val="18"/>
          <w:lang w:val="fr-FR"/>
        </w:rPr>
        <w:t xml:space="preserve">Programme d’action de Beijing, </w:t>
      </w:r>
      <w:r w:rsidRPr="00DA64F5">
        <w:rPr>
          <w:szCs w:val="18"/>
          <w:lang w:val="fr-FR"/>
        </w:rPr>
        <w:t>par. 29</w:t>
      </w:r>
      <w:r w:rsidRPr="00DA64F5">
        <w:rPr>
          <w:szCs w:val="18"/>
          <w:lang w:val="fr-FR" w:eastAsia="en-GB"/>
        </w:rPr>
        <w:t xml:space="preserve">; </w:t>
      </w:r>
      <w:r w:rsidRPr="00E32163">
        <w:rPr>
          <w:szCs w:val="18"/>
          <w:lang w:val="fr-FR" w:eastAsia="en-GB"/>
        </w:rPr>
        <w:t>Panel sur la protection de la famille, 15 </w:t>
      </w:r>
      <w:r w:rsidRPr="0016746E">
        <w:rPr>
          <w:szCs w:val="18"/>
          <w:lang w:val="fr-FR" w:eastAsia="en-GB"/>
        </w:rPr>
        <w:t>septembre 2014, vingt-septième</w:t>
      </w:r>
      <w:r w:rsidRPr="004D6249">
        <w:rPr>
          <w:szCs w:val="18"/>
          <w:lang w:val="fr-FR" w:eastAsia="en-GB"/>
        </w:rPr>
        <w:t xml:space="preserve"> </w:t>
      </w:r>
      <w:r w:rsidRPr="00CD2281">
        <w:rPr>
          <w:szCs w:val="18"/>
          <w:lang w:val="fr-FR" w:eastAsia="en-GB"/>
        </w:rPr>
        <w:t>session du Conseil des droits de l’homme.</w:t>
      </w:r>
    </w:p>
  </w:footnote>
  <w:footnote w:id="20">
    <w:p w:rsidR="001F1655" w:rsidRPr="00CD2281" w:rsidRDefault="001F1655" w:rsidP="00862FBF">
      <w:pPr>
        <w:pStyle w:val="FootnoteText"/>
        <w:rPr>
          <w:szCs w:val="18"/>
          <w:lang w:val="fr-FR"/>
        </w:rPr>
      </w:pPr>
      <w:r w:rsidRPr="00CD2281">
        <w:rPr>
          <w:szCs w:val="18"/>
          <w:lang w:val="fr-FR"/>
        </w:rPr>
        <w:tab/>
      </w:r>
      <w:r w:rsidRPr="0016746E">
        <w:rPr>
          <w:rStyle w:val="FootnoteReference"/>
          <w:szCs w:val="18"/>
          <w:lang w:val="fr-FR"/>
        </w:rPr>
        <w:footnoteRef/>
      </w:r>
      <w:r w:rsidRPr="0016746E">
        <w:rPr>
          <w:szCs w:val="18"/>
          <w:lang w:val="fr-FR"/>
        </w:rPr>
        <w:tab/>
        <w:t>Cour interaméricaine des droits de l’homme, a</w:t>
      </w:r>
      <w:r w:rsidRPr="00E73028">
        <w:rPr>
          <w:szCs w:val="18"/>
          <w:lang w:val="fr-FR"/>
        </w:rPr>
        <w:t xml:space="preserve">ffaire </w:t>
      </w:r>
      <w:r w:rsidRPr="00E73028">
        <w:rPr>
          <w:i/>
          <w:iCs/>
          <w:szCs w:val="18"/>
          <w:lang w:val="fr-FR"/>
        </w:rPr>
        <w:t xml:space="preserve">Atala Riffo </w:t>
      </w:r>
      <w:r w:rsidRPr="004D6249">
        <w:rPr>
          <w:i/>
          <w:iCs/>
          <w:szCs w:val="18"/>
          <w:lang w:val="fr-FR"/>
        </w:rPr>
        <w:t>et fillettes c. Chili</w:t>
      </w:r>
      <w:r w:rsidRPr="00273ABE">
        <w:rPr>
          <w:szCs w:val="18"/>
          <w:lang w:val="fr-FR"/>
        </w:rPr>
        <w:t>,</w:t>
      </w:r>
      <w:r w:rsidRPr="00DA64F5">
        <w:rPr>
          <w:i/>
          <w:iCs/>
          <w:szCs w:val="18"/>
          <w:lang w:val="fr-FR"/>
        </w:rPr>
        <w:t xml:space="preserve"> </w:t>
      </w:r>
      <w:r w:rsidRPr="00E32163">
        <w:rPr>
          <w:szCs w:val="18"/>
          <w:lang w:val="fr-FR"/>
        </w:rPr>
        <w:t xml:space="preserve">arrêt du 24 </w:t>
      </w:r>
      <w:r w:rsidRPr="0016746E">
        <w:rPr>
          <w:szCs w:val="18"/>
          <w:lang w:val="fr-FR"/>
        </w:rPr>
        <w:t xml:space="preserve">février </w:t>
      </w:r>
      <w:r w:rsidRPr="00E73028">
        <w:rPr>
          <w:szCs w:val="18"/>
          <w:lang w:val="fr-FR"/>
        </w:rPr>
        <w:t>2012 (</w:t>
      </w:r>
      <w:r w:rsidRPr="004D6249">
        <w:rPr>
          <w:szCs w:val="18"/>
          <w:lang w:val="fr-FR"/>
        </w:rPr>
        <w:t>Fond, réparations et dépens</w:t>
      </w:r>
      <w:r w:rsidRPr="00CD2281">
        <w:rPr>
          <w:szCs w:val="18"/>
          <w:lang w:val="fr-FR"/>
        </w:rPr>
        <w:t>).</w:t>
      </w:r>
    </w:p>
  </w:footnote>
  <w:footnote w:id="21">
    <w:p w:rsidR="001F1655" w:rsidRPr="00CD2281" w:rsidRDefault="001F1655" w:rsidP="00A27B94">
      <w:pPr>
        <w:pStyle w:val="FootnoteText"/>
        <w:rPr>
          <w:szCs w:val="18"/>
          <w:lang w:val="fr-FR"/>
        </w:rPr>
      </w:pPr>
      <w:r w:rsidRPr="00CD2281">
        <w:rPr>
          <w:szCs w:val="18"/>
          <w:lang w:val="fr-FR"/>
        </w:rPr>
        <w:tab/>
      </w:r>
      <w:r w:rsidRPr="0016746E">
        <w:rPr>
          <w:rStyle w:val="FootnoteReference"/>
          <w:szCs w:val="18"/>
          <w:lang w:val="fr-FR"/>
        </w:rPr>
        <w:footnoteRef/>
      </w:r>
      <w:r w:rsidRPr="0016746E">
        <w:rPr>
          <w:szCs w:val="18"/>
          <w:lang w:val="fr-FR"/>
        </w:rPr>
        <w:tab/>
        <w:t>Comité de</w:t>
      </w:r>
      <w:r w:rsidRPr="00E73028">
        <w:rPr>
          <w:szCs w:val="18"/>
          <w:lang w:val="fr-FR"/>
        </w:rPr>
        <w:t>s droits de l’homme, o</w:t>
      </w:r>
      <w:r w:rsidRPr="004D6249">
        <w:rPr>
          <w:szCs w:val="18"/>
          <w:lang w:val="fr-FR"/>
        </w:rPr>
        <w:t>bservation générale n</w:t>
      </w:r>
      <w:r w:rsidRPr="00CD2281">
        <w:rPr>
          <w:szCs w:val="18"/>
          <w:vertAlign w:val="superscript"/>
          <w:lang w:val="fr-FR"/>
        </w:rPr>
        <w:t>o</w:t>
      </w:r>
      <w:r w:rsidRPr="00CD2281">
        <w:rPr>
          <w:szCs w:val="18"/>
          <w:lang w:val="fr-FR"/>
        </w:rPr>
        <w:t> 28, par. 24.</w:t>
      </w:r>
    </w:p>
  </w:footnote>
  <w:footnote w:id="22">
    <w:p w:rsidR="001F1655" w:rsidRPr="006F0F1B" w:rsidRDefault="001F1655" w:rsidP="00A27B94">
      <w:pPr>
        <w:pStyle w:val="FootnoteText"/>
        <w:rPr>
          <w:szCs w:val="18"/>
          <w:lang w:val="fr-FR"/>
        </w:rPr>
      </w:pPr>
      <w:r w:rsidRPr="00CD2281">
        <w:rPr>
          <w:szCs w:val="18"/>
          <w:lang w:val="fr-FR"/>
        </w:rPr>
        <w:tab/>
      </w:r>
      <w:r w:rsidRPr="0016746E">
        <w:rPr>
          <w:rStyle w:val="FootnoteReference"/>
          <w:szCs w:val="18"/>
          <w:lang w:val="fr-FR"/>
        </w:rPr>
        <w:footnoteRef/>
      </w:r>
      <w:r w:rsidRPr="0016746E">
        <w:rPr>
          <w:szCs w:val="18"/>
          <w:lang w:val="fr-FR"/>
        </w:rPr>
        <w:tab/>
        <w:t xml:space="preserve">Comité </w:t>
      </w:r>
      <w:r w:rsidRPr="00E73028">
        <w:rPr>
          <w:rFonts w:eastAsia="Calibri"/>
          <w:lang w:val="fr-FR"/>
        </w:rPr>
        <w:t>pour l’élimination de la discrimination à l’égard des femmes,</w:t>
      </w:r>
      <w:r w:rsidRPr="00E73028">
        <w:rPr>
          <w:szCs w:val="18"/>
          <w:lang w:val="fr-FR"/>
        </w:rPr>
        <w:t xml:space="preserve"> </w:t>
      </w:r>
      <w:r w:rsidRPr="00CD2281">
        <w:rPr>
          <w:szCs w:val="18"/>
          <w:lang w:val="fr-FR"/>
        </w:rPr>
        <w:t>recommandation générale n</w:t>
      </w:r>
      <w:r w:rsidRPr="00CD2281">
        <w:rPr>
          <w:szCs w:val="18"/>
          <w:vertAlign w:val="superscript"/>
          <w:lang w:val="fr-FR"/>
        </w:rPr>
        <w:t>o</w:t>
      </w:r>
      <w:r w:rsidRPr="00CD2281">
        <w:rPr>
          <w:szCs w:val="18"/>
          <w:lang w:val="fr-FR"/>
        </w:rPr>
        <w:t> 21, par. 14.</w:t>
      </w:r>
    </w:p>
  </w:footnote>
  <w:footnote w:id="23">
    <w:p w:rsidR="001F1655" w:rsidRPr="00E73028" w:rsidRDefault="001F1655" w:rsidP="00F42701">
      <w:pPr>
        <w:pStyle w:val="FootnoteText"/>
        <w:rPr>
          <w:rStyle w:val="FootnoteReference"/>
          <w:szCs w:val="18"/>
          <w:vertAlign w:val="baseline"/>
          <w:lang w:val="fr-FR"/>
        </w:rPr>
      </w:pPr>
      <w:r w:rsidRPr="006F0F1B">
        <w:rPr>
          <w:szCs w:val="18"/>
          <w:lang w:val="fr-FR"/>
        </w:rPr>
        <w:tab/>
      </w:r>
      <w:r w:rsidRPr="006F0F1B">
        <w:rPr>
          <w:rStyle w:val="FootnoteReference"/>
          <w:szCs w:val="18"/>
          <w:lang w:val="fr-FR"/>
        </w:rPr>
        <w:footnoteRef/>
      </w:r>
      <w:r w:rsidRPr="006F0F1B">
        <w:rPr>
          <w:szCs w:val="18"/>
          <w:lang w:val="fr-FR"/>
        </w:rPr>
        <w:tab/>
      </w:r>
      <w:r w:rsidRPr="00DA64F5">
        <w:rPr>
          <w:szCs w:val="18"/>
          <w:lang w:val="fr-FR"/>
        </w:rPr>
        <w:t xml:space="preserve">Comité </w:t>
      </w:r>
      <w:r w:rsidRPr="00DA64F5">
        <w:rPr>
          <w:rFonts w:eastAsia="Calibri"/>
          <w:lang w:val="fr-FR"/>
        </w:rPr>
        <w:t>pour l’élimination de la discrimination à l’égard des femmes</w:t>
      </w:r>
      <w:r w:rsidRPr="00DA64F5">
        <w:rPr>
          <w:szCs w:val="18"/>
          <w:lang w:val="fr-FR"/>
        </w:rPr>
        <w:t xml:space="preserve">, </w:t>
      </w:r>
      <w:r w:rsidRPr="00E32163">
        <w:rPr>
          <w:szCs w:val="18"/>
          <w:lang w:val="fr-FR"/>
        </w:rPr>
        <w:t>recommandation générale n</w:t>
      </w:r>
      <w:r w:rsidRPr="00E32163">
        <w:rPr>
          <w:szCs w:val="18"/>
          <w:vertAlign w:val="superscript"/>
          <w:lang w:val="fr-FR"/>
        </w:rPr>
        <w:t>o</w:t>
      </w:r>
      <w:r w:rsidRPr="00E32163">
        <w:rPr>
          <w:szCs w:val="18"/>
          <w:lang w:val="fr-FR"/>
        </w:rPr>
        <w:t> 21, par. 14, 16, 36</w:t>
      </w:r>
      <w:r w:rsidRPr="0016746E">
        <w:rPr>
          <w:szCs w:val="18"/>
          <w:lang w:val="fr-FR"/>
        </w:rPr>
        <w:t xml:space="preserve"> à 39</w:t>
      </w:r>
      <w:r w:rsidRPr="00E73028">
        <w:rPr>
          <w:szCs w:val="18"/>
          <w:lang w:val="fr-FR"/>
        </w:rPr>
        <w:t>.</w:t>
      </w:r>
    </w:p>
  </w:footnote>
  <w:footnote w:id="24">
    <w:p w:rsidR="001F1655" w:rsidRPr="0016746E" w:rsidRDefault="001F1655" w:rsidP="004575B5">
      <w:pPr>
        <w:pStyle w:val="FootnoteText"/>
        <w:rPr>
          <w:szCs w:val="18"/>
          <w:lang w:val="fr-FR"/>
        </w:rPr>
      </w:pPr>
      <w:r w:rsidRPr="00E73028">
        <w:rPr>
          <w:szCs w:val="18"/>
          <w:lang w:val="fr-FR"/>
        </w:rPr>
        <w:tab/>
      </w:r>
      <w:r w:rsidRPr="0016746E">
        <w:rPr>
          <w:rStyle w:val="FootnoteReference"/>
          <w:szCs w:val="18"/>
          <w:lang w:val="fr-FR"/>
        </w:rPr>
        <w:footnoteRef/>
      </w:r>
      <w:r w:rsidRPr="0016746E">
        <w:rPr>
          <w:szCs w:val="18"/>
          <w:lang w:val="fr-FR"/>
        </w:rPr>
        <w:tab/>
        <w:t xml:space="preserve">Marsha A. Freeman, </w:t>
      </w:r>
      <w:r w:rsidRPr="00273ABE">
        <w:rPr>
          <w:szCs w:val="18"/>
          <w:lang w:val="fr-FR"/>
        </w:rPr>
        <w:t xml:space="preserve">Christine </w:t>
      </w:r>
      <w:r w:rsidRPr="00DA64F5">
        <w:rPr>
          <w:szCs w:val="18"/>
          <w:lang w:val="fr-FR"/>
        </w:rPr>
        <w:t xml:space="preserve">Chinkin, </w:t>
      </w:r>
      <w:r w:rsidRPr="00273ABE">
        <w:rPr>
          <w:szCs w:val="18"/>
          <w:lang w:val="fr-FR"/>
        </w:rPr>
        <w:t xml:space="preserve">Beate </w:t>
      </w:r>
      <w:r w:rsidRPr="00DA64F5">
        <w:rPr>
          <w:szCs w:val="18"/>
          <w:lang w:val="fr-FR"/>
        </w:rPr>
        <w:t xml:space="preserve">Rudolf, </w:t>
      </w:r>
      <w:r w:rsidRPr="00273ABE">
        <w:rPr>
          <w:i/>
          <w:iCs/>
          <w:szCs w:val="18"/>
          <w:lang w:val="fr-FR"/>
        </w:rPr>
        <w:t>The UN Convention on the Elimination of All Forms of Discrimination against Women: A Commentary</w:t>
      </w:r>
      <w:r w:rsidRPr="00DA64F5">
        <w:rPr>
          <w:szCs w:val="18"/>
          <w:lang w:val="fr-FR"/>
        </w:rPr>
        <w:t xml:space="preserve">, Article 16, </w:t>
      </w:r>
      <w:r w:rsidRPr="00E32163">
        <w:rPr>
          <w:szCs w:val="18"/>
          <w:lang w:val="fr-FR"/>
        </w:rPr>
        <w:t>2012, p. 437.</w:t>
      </w:r>
    </w:p>
  </w:footnote>
  <w:footnote w:id="25">
    <w:p w:rsidR="001F1655" w:rsidRPr="006F0F1B" w:rsidRDefault="001F1655" w:rsidP="00862FBF">
      <w:pPr>
        <w:pStyle w:val="FootnoteText"/>
        <w:rPr>
          <w:szCs w:val="18"/>
          <w:lang w:val="fr-FR"/>
        </w:rPr>
      </w:pPr>
      <w:r w:rsidRPr="006F0F1B">
        <w:rPr>
          <w:szCs w:val="18"/>
          <w:lang w:val="fr-FR"/>
        </w:rPr>
        <w:tab/>
      </w:r>
      <w:r w:rsidRPr="006F0F1B">
        <w:rPr>
          <w:rStyle w:val="FootnoteReference"/>
          <w:szCs w:val="18"/>
          <w:lang w:val="fr-FR"/>
        </w:rPr>
        <w:footnoteRef/>
      </w:r>
      <w:r w:rsidRPr="006F0F1B">
        <w:rPr>
          <w:szCs w:val="18"/>
          <w:lang w:val="fr-FR"/>
        </w:rPr>
        <w:tab/>
      </w:r>
      <w:r w:rsidRPr="0016746E">
        <w:rPr>
          <w:szCs w:val="18"/>
          <w:lang w:val="fr-FR"/>
        </w:rPr>
        <w:t xml:space="preserve">Rapport </w:t>
      </w:r>
      <w:r w:rsidRPr="00E73028">
        <w:rPr>
          <w:szCs w:val="18"/>
          <w:lang w:val="fr-FR"/>
        </w:rPr>
        <w:t xml:space="preserve">de la quatrième </w:t>
      </w:r>
      <w:r w:rsidRPr="00CD2281">
        <w:rPr>
          <w:szCs w:val="18"/>
          <w:lang w:val="fr-FR"/>
        </w:rPr>
        <w:t>Conférence mondiale sur les femmes, Beijing, 4-15 septembre 1995, (A/CONF.177/20/Rev.1), Programme d’action de Beijing, par. 29</w:t>
      </w:r>
      <w:r w:rsidRPr="006F0F1B">
        <w:rPr>
          <w:szCs w:val="18"/>
          <w:lang w:val="fr-FR"/>
        </w:rPr>
        <w:t>.</w:t>
      </w:r>
    </w:p>
  </w:footnote>
  <w:footnote w:id="26">
    <w:p w:rsidR="001F1655" w:rsidRPr="006F0F1B" w:rsidRDefault="001F1655" w:rsidP="00C96B2C">
      <w:pPr>
        <w:pStyle w:val="FootnoteText"/>
        <w:rPr>
          <w:szCs w:val="18"/>
          <w:lang w:val="fr-FR"/>
        </w:rPr>
      </w:pPr>
      <w:r w:rsidRPr="006F0F1B">
        <w:rPr>
          <w:szCs w:val="18"/>
          <w:lang w:val="fr-FR"/>
        </w:rPr>
        <w:tab/>
      </w:r>
      <w:r w:rsidRPr="006F0F1B">
        <w:rPr>
          <w:rStyle w:val="FootnoteReference"/>
          <w:szCs w:val="18"/>
          <w:lang w:val="fr-FR"/>
        </w:rPr>
        <w:footnoteRef/>
      </w:r>
      <w:r w:rsidRPr="006F0F1B">
        <w:rPr>
          <w:szCs w:val="18"/>
          <w:lang w:val="fr-FR"/>
        </w:rPr>
        <w:tab/>
      </w:r>
      <w:r w:rsidRPr="0016746E">
        <w:rPr>
          <w:szCs w:val="18"/>
          <w:lang w:val="fr-FR"/>
        </w:rPr>
        <w:t>A/HRC/28/41</w:t>
      </w:r>
      <w:r w:rsidRPr="006F0F1B">
        <w:rPr>
          <w:szCs w:val="18"/>
          <w:lang w:val="fr-FR"/>
        </w:rPr>
        <w:t xml:space="preserve">, </w:t>
      </w:r>
      <w:r w:rsidRPr="00C96B2C">
        <w:rPr>
          <w:szCs w:val="18"/>
          <w:lang w:val="fr-FR"/>
        </w:rPr>
        <w:t>Annexe 10.</w:t>
      </w:r>
    </w:p>
  </w:footnote>
  <w:footnote w:id="27">
    <w:p w:rsidR="001F1655" w:rsidRPr="006F0F1B" w:rsidRDefault="001F1655" w:rsidP="0016746E">
      <w:pPr>
        <w:pStyle w:val="FootnoteText"/>
        <w:rPr>
          <w:szCs w:val="18"/>
          <w:lang w:val="fr-FR"/>
        </w:rPr>
      </w:pPr>
      <w:r w:rsidRPr="006F0F1B">
        <w:rPr>
          <w:szCs w:val="18"/>
          <w:lang w:val="fr-FR"/>
        </w:rPr>
        <w:tab/>
      </w:r>
      <w:r w:rsidRPr="006F0F1B">
        <w:rPr>
          <w:rStyle w:val="FootnoteReference"/>
          <w:szCs w:val="18"/>
          <w:lang w:val="fr-FR"/>
        </w:rPr>
        <w:footnoteRef/>
      </w:r>
      <w:r w:rsidRPr="006F0F1B">
        <w:rPr>
          <w:szCs w:val="18"/>
          <w:lang w:val="fr-FR"/>
        </w:rPr>
        <w:tab/>
      </w:r>
      <w:r w:rsidRPr="0016746E">
        <w:rPr>
          <w:szCs w:val="18"/>
          <w:lang w:val="fr-FR"/>
        </w:rPr>
        <w:t>E/CN.4/2002/73/Add.2, par. 124.</w:t>
      </w:r>
    </w:p>
  </w:footnote>
  <w:footnote w:id="28">
    <w:p w:rsidR="001F1655" w:rsidRPr="006F0F1B" w:rsidRDefault="001F1655" w:rsidP="00EB2207">
      <w:pPr>
        <w:pStyle w:val="FootnoteText"/>
        <w:rPr>
          <w:szCs w:val="18"/>
          <w:lang w:val="fr-FR"/>
        </w:rPr>
      </w:pPr>
      <w:r w:rsidRPr="006F0F1B">
        <w:rPr>
          <w:szCs w:val="18"/>
          <w:lang w:val="fr-FR"/>
        </w:rPr>
        <w:tab/>
      </w:r>
      <w:r w:rsidRPr="006F0F1B">
        <w:rPr>
          <w:rStyle w:val="FootnoteReference"/>
          <w:szCs w:val="18"/>
          <w:lang w:val="fr-FR"/>
        </w:rPr>
        <w:footnoteRef/>
      </w:r>
      <w:r w:rsidRPr="006F0F1B">
        <w:rPr>
          <w:szCs w:val="18"/>
          <w:lang w:val="fr-FR"/>
        </w:rPr>
        <w:tab/>
        <w:t xml:space="preserve">Dans certaines religions, </w:t>
      </w:r>
      <w:r>
        <w:rPr>
          <w:szCs w:val="18"/>
          <w:lang w:val="fr-FR"/>
        </w:rPr>
        <w:t xml:space="preserve">par exemple le judaïsme, </w:t>
      </w:r>
      <w:r w:rsidRPr="006F0F1B">
        <w:rPr>
          <w:szCs w:val="18"/>
          <w:lang w:val="fr-FR"/>
        </w:rPr>
        <w:t xml:space="preserve">le viol marital est </w:t>
      </w:r>
      <w:r w:rsidRPr="00EB2207">
        <w:rPr>
          <w:szCs w:val="18"/>
          <w:lang w:val="fr-FR"/>
        </w:rPr>
        <w:t>interdit.</w:t>
      </w:r>
      <w:r w:rsidRPr="006F0F1B">
        <w:rPr>
          <w:szCs w:val="18"/>
          <w:lang w:val="fr-FR"/>
        </w:rPr>
        <w:t xml:space="preserve"> </w:t>
      </w:r>
    </w:p>
  </w:footnote>
  <w:footnote w:id="29">
    <w:p w:rsidR="001F1655" w:rsidRPr="006F0F1B" w:rsidRDefault="001F1655" w:rsidP="00E73028">
      <w:pPr>
        <w:pStyle w:val="FootnoteText"/>
        <w:rPr>
          <w:szCs w:val="18"/>
          <w:lang w:val="fr-FR"/>
        </w:rPr>
      </w:pPr>
      <w:r w:rsidRPr="006F0F1B">
        <w:rPr>
          <w:szCs w:val="18"/>
          <w:lang w:val="fr-FR"/>
        </w:rPr>
        <w:tab/>
      </w:r>
      <w:r w:rsidRPr="006F0F1B">
        <w:rPr>
          <w:rStyle w:val="FootnoteReference"/>
          <w:szCs w:val="18"/>
          <w:lang w:val="fr-FR"/>
        </w:rPr>
        <w:footnoteRef/>
      </w:r>
      <w:r w:rsidRPr="006F0F1B">
        <w:rPr>
          <w:szCs w:val="18"/>
          <w:lang w:val="fr-FR"/>
        </w:rPr>
        <w:tab/>
      </w:r>
      <w:r w:rsidRPr="0016746E">
        <w:rPr>
          <w:szCs w:val="18"/>
          <w:lang w:val="fr-FR"/>
        </w:rPr>
        <w:t>ONU-Femmes</w:t>
      </w:r>
      <w:r w:rsidRPr="00E73028">
        <w:rPr>
          <w:szCs w:val="18"/>
          <w:lang w:val="fr-FR"/>
        </w:rPr>
        <w:t xml:space="preserve">, </w:t>
      </w:r>
      <w:r w:rsidRPr="00273ABE">
        <w:rPr>
          <w:i/>
          <w:iCs/>
          <w:szCs w:val="18"/>
          <w:lang w:val="fr-FR"/>
        </w:rPr>
        <w:t>Le progrès des femmes dans le monde 2011-2012: en quête de justice</w:t>
      </w:r>
      <w:r w:rsidRPr="00E73028">
        <w:rPr>
          <w:szCs w:val="18"/>
          <w:lang w:val="fr-FR"/>
        </w:rPr>
        <w:t>, 2011,</w:t>
      </w:r>
      <w:r w:rsidRPr="004D6249">
        <w:rPr>
          <w:szCs w:val="18"/>
          <w:lang w:val="fr-FR"/>
        </w:rPr>
        <w:t xml:space="preserve"> </w:t>
      </w:r>
      <w:r w:rsidRPr="00CD2281">
        <w:rPr>
          <w:szCs w:val="18"/>
          <w:lang w:val="fr-FR"/>
        </w:rPr>
        <w:t>p. 33 à 35, disponible à l’adresse suivante : http://progress.unwomen.org/pdfs/FR_Report-Progress.pdf</w:t>
      </w:r>
      <w:r w:rsidRPr="00C33ED2">
        <w:rPr>
          <w:szCs w:val="18"/>
          <w:lang w:val="fr-FR"/>
        </w:rPr>
        <w:t>.</w:t>
      </w:r>
    </w:p>
  </w:footnote>
  <w:footnote w:id="30">
    <w:p w:rsidR="001F1655" w:rsidRPr="006F0F1B" w:rsidRDefault="001F1655" w:rsidP="00E73028">
      <w:pPr>
        <w:pStyle w:val="FootnoteText"/>
        <w:rPr>
          <w:szCs w:val="18"/>
          <w:lang w:val="fr-FR"/>
        </w:rPr>
      </w:pPr>
      <w:r w:rsidRPr="006F0F1B">
        <w:rPr>
          <w:szCs w:val="18"/>
          <w:lang w:val="fr-FR"/>
        </w:rPr>
        <w:tab/>
      </w:r>
      <w:r w:rsidRPr="006F0F1B">
        <w:rPr>
          <w:rStyle w:val="FootnoteReference"/>
          <w:szCs w:val="18"/>
          <w:lang w:val="fr-FR"/>
        </w:rPr>
        <w:footnoteRef/>
      </w:r>
      <w:r w:rsidRPr="006F0F1B">
        <w:rPr>
          <w:szCs w:val="18"/>
          <w:lang w:val="fr-FR"/>
        </w:rPr>
        <w:tab/>
      </w:r>
      <w:r w:rsidRPr="00273ABE">
        <w:rPr>
          <w:szCs w:val="18"/>
          <w:lang w:val="fr-FR"/>
        </w:rPr>
        <w:t>Anke Hoeffler et James Fearon</w:t>
      </w:r>
      <w:r>
        <w:rPr>
          <w:szCs w:val="18"/>
          <w:lang w:val="fr-FR"/>
        </w:rPr>
        <w:t>,</w:t>
      </w:r>
      <w:r w:rsidRPr="00273ABE">
        <w:rPr>
          <w:szCs w:val="18"/>
          <w:lang w:val="fr-FR"/>
        </w:rPr>
        <w:t xml:space="preserve"> </w:t>
      </w:r>
      <w:r w:rsidRPr="00E73028">
        <w:rPr>
          <w:szCs w:val="18"/>
          <w:lang w:val="fr-FR"/>
        </w:rPr>
        <w:t xml:space="preserve">«Conflict and violence: assessment paper», </w:t>
      </w:r>
      <w:r w:rsidRPr="00273ABE">
        <w:rPr>
          <w:szCs w:val="18"/>
          <w:lang w:val="fr-FR"/>
        </w:rPr>
        <w:t xml:space="preserve">Copenhagen Consensus Center, </w:t>
      </w:r>
      <w:r w:rsidRPr="00E73028">
        <w:rPr>
          <w:szCs w:val="18"/>
          <w:lang w:val="fr-FR"/>
        </w:rPr>
        <w:t>2014</w:t>
      </w:r>
      <w:r w:rsidRPr="004D6249">
        <w:rPr>
          <w:szCs w:val="18"/>
          <w:lang w:val="fr-FR"/>
        </w:rPr>
        <w:t>.</w:t>
      </w:r>
    </w:p>
  </w:footnote>
  <w:footnote w:id="31">
    <w:p w:rsidR="001F1655" w:rsidRPr="006F0F1B" w:rsidRDefault="001F1655" w:rsidP="004740EB">
      <w:pPr>
        <w:pStyle w:val="FootnoteText"/>
        <w:rPr>
          <w:szCs w:val="18"/>
          <w:lang w:val="fr-FR"/>
        </w:rPr>
      </w:pPr>
      <w:r w:rsidRPr="006F0F1B">
        <w:rPr>
          <w:szCs w:val="18"/>
          <w:lang w:val="fr-FR"/>
        </w:rPr>
        <w:tab/>
      </w:r>
      <w:r w:rsidRPr="006F0F1B">
        <w:rPr>
          <w:rStyle w:val="FootnoteReference"/>
          <w:szCs w:val="18"/>
          <w:lang w:val="fr-FR"/>
        </w:rPr>
        <w:footnoteRef/>
      </w:r>
      <w:r w:rsidRPr="006F0F1B">
        <w:rPr>
          <w:szCs w:val="18"/>
          <w:lang w:val="fr-FR"/>
        </w:rPr>
        <w:tab/>
      </w:r>
      <w:r w:rsidRPr="00E73028">
        <w:rPr>
          <w:szCs w:val="18"/>
          <w:lang w:val="fr-FR"/>
        </w:rPr>
        <w:t>Voir A/HRC/23/50, par. 84</w:t>
      </w:r>
      <w:r w:rsidRPr="004D6249">
        <w:rPr>
          <w:szCs w:val="18"/>
          <w:lang w:val="fr-FR"/>
        </w:rPr>
        <w:t xml:space="preserve"> à </w:t>
      </w:r>
      <w:r w:rsidRPr="00CD2281">
        <w:rPr>
          <w:szCs w:val="18"/>
          <w:lang w:val="fr-FR"/>
        </w:rPr>
        <w:t>86.</w:t>
      </w:r>
    </w:p>
  </w:footnote>
  <w:footnote w:id="32">
    <w:p w:rsidR="001F1655" w:rsidRPr="006F0F1B" w:rsidRDefault="001F1655" w:rsidP="00567C9C">
      <w:pPr>
        <w:pStyle w:val="FootnoteText"/>
        <w:rPr>
          <w:szCs w:val="18"/>
          <w:lang w:val="fr-FR"/>
        </w:rPr>
      </w:pPr>
      <w:r w:rsidRPr="006F0F1B">
        <w:rPr>
          <w:szCs w:val="18"/>
          <w:lang w:val="fr-FR"/>
        </w:rPr>
        <w:tab/>
      </w:r>
      <w:r w:rsidRPr="006F0F1B">
        <w:rPr>
          <w:rStyle w:val="FootnoteReference"/>
          <w:szCs w:val="18"/>
          <w:lang w:val="fr-FR"/>
        </w:rPr>
        <w:footnoteRef/>
      </w:r>
      <w:r w:rsidRPr="006F0F1B">
        <w:rPr>
          <w:szCs w:val="18"/>
          <w:lang w:val="fr-FR"/>
        </w:rPr>
        <w:tab/>
      </w:r>
      <w:r w:rsidRPr="00E73028">
        <w:rPr>
          <w:szCs w:val="18"/>
          <w:lang w:val="fr-FR"/>
        </w:rPr>
        <w:t>ONU-Femmes</w:t>
      </w:r>
      <w:r w:rsidRPr="00CD2281">
        <w:rPr>
          <w:szCs w:val="18"/>
          <w:lang w:val="fr-FR"/>
        </w:rPr>
        <w:t xml:space="preserve">, </w:t>
      </w:r>
      <w:r w:rsidRPr="00273ABE">
        <w:rPr>
          <w:i/>
          <w:iCs/>
          <w:szCs w:val="18"/>
          <w:lang w:val="fr-FR"/>
        </w:rPr>
        <w:t>Le progrès des femmes dans le monde 2011-2012: en quête de justice</w:t>
      </w:r>
      <w:r w:rsidRPr="00E73028">
        <w:rPr>
          <w:szCs w:val="18"/>
          <w:lang w:val="fr-FR"/>
        </w:rPr>
        <w:t>, p. 24.</w:t>
      </w:r>
    </w:p>
  </w:footnote>
  <w:footnote w:id="33">
    <w:p w:rsidR="001F1655" w:rsidRPr="006F0F1B" w:rsidRDefault="001F1655" w:rsidP="006F40D3">
      <w:pPr>
        <w:pStyle w:val="FootnoteText"/>
        <w:rPr>
          <w:szCs w:val="18"/>
          <w:lang w:val="fr-FR"/>
        </w:rPr>
      </w:pPr>
      <w:r w:rsidRPr="006F0F1B">
        <w:rPr>
          <w:szCs w:val="18"/>
          <w:lang w:val="fr-FR"/>
        </w:rPr>
        <w:tab/>
      </w:r>
      <w:r w:rsidRPr="006F0F1B">
        <w:rPr>
          <w:rStyle w:val="FootnoteReference"/>
          <w:szCs w:val="18"/>
          <w:lang w:val="fr-FR"/>
        </w:rPr>
        <w:footnoteRef/>
      </w:r>
      <w:r w:rsidRPr="006F0F1B">
        <w:rPr>
          <w:szCs w:val="18"/>
          <w:lang w:val="fr-FR"/>
        </w:rPr>
        <w:tab/>
      </w:r>
      <w:r w:rsidRPr="006F40D3">
        <w:rPr>
          <w:szCs w:val="18"/>
          <w:lang w:val="fr-FR"/>
        </w:rPr>
        <w:t xml:space="preserve">William </w:t>
      </w:r>
      <w:r w:rsidRPr="00273ABE">
        <w:rPr>
          <w:szCs w:val="18"/>
          <w:lang w:val="fr-FR"/>
        </w:rPr>
        <w:t xml:space="preserve">Blackstone, </w:t>
      </w:r>
      <w:r w:rsidRPr="00273ABE">
        <w:rPr>
          <w:i/>
          <w:iCs/>
          <w:szCs w:val="18"/>
          <w:lang w:val="fr-FR"/>
        </w:rPr>
        <w:t>Commentaires sur les lois anglaises</w:t>
      </w:r>
      <w:r w:rsidRPr="00273ABE">
        <w:rPr>
          <w:szCs w:val="18"/>
          <w:lang w:val="fr-FR"/>
        </w:rPr>
        <w:t xml:space="preserve">, 1765, t. II, traduit de l’anglais par N. M. Chompré, Paris, Bossange, Rey et Gravier, et Aillaud, 1822, </w:t>
      </w:r>
      <w:r w:rsidRPr="006F40D3">
        <w:rPr>
          <w:szCs w:val="18"/>
          <w:lang w:val="fr-FR"/>
        </w:rPr>
        <w:t>p</w:t>
      </w:r>
      <w:r>
        <w:rPr>
          <w:szCs w:val="18"/>
          <w:lang w:val="fr-FR"/>
        </w:rPr>
        <w:t>. 215</w:t>
      </w:r>
      <w:r w:rsidRPr="006F0F1B">
        <w:rPr>
          <w:szCs w:val="18"/>
          <w:lang w:val="fr-FR"/>
        </w:rPr>
        <w:t>.</w:t>
      </w:r>
      <w:r>
        <w:rPr>
          <w:szCs w:val="18"/>
          <w:lang w:val="fr-FR"/>
        </w:rPr>
        <w:t xml:space="preserve"> </w:t>
      </w:r>
    </w:p>
  </w:footnote>
  <w:footnote w:id="34">
    <w:p w:rsidR="001F1655" w:rsidRPr="006F0F1B" w:rsidRDefault="001F1655" w:rsidP="006F0F1B">
      <w:pPr>
        <w:pStyle w:val="FootnoteText"/>
        <w:rPr>
          <w:rStyle w:val="FootnoteReference"/>
          <w:szCs w:val="18"/>
          <w:vertAlign w:val="baseline"/>
          <w:lang w:val="fr-FR"/>
        </w:rPr>
      </w:pPr>
      <w:r w:rsidRPr="006F0F1B">
        <w:rPr>
          <w:szCs w:val="18"/>
          <w:lang w:val="fr-FR"/>
        </w:rPr>
        <w:tab/>
      </w:r>
      <w:r w:rsidRPr="006F0F1B">
        <w:rPr>
          <w:rStyle w:val="FootnoteReference"/>
          <w:szCs w:val="18"/>
          <w:lang w:val="fr-FR"/>
        </w:rPr>
        <w:footnoteRef/>
      </w:r>
      <w:r w:rsidRPr="006F0F1B">
        <w:rPr>
          <w:szCs w:val="18"/>
          <w:lang w:val="fr-FR"/>
        </w:rPr>
        <w:tab/>
      </w:r>
      <w:r w:rsidRPr="00DA64F5">
        <w:rPr>
          <w:szCs w:val="18"/>
          <w:lang w:val="fr-FR"/>
        </w:rPr>
        <w:t xml:space="preserve">Voir </w:t>
      </w:r>
      <w:r w:rsidRPr="00DA64F5">
        <w:rPr>
          <w:rStyle w:val="FootnoteReference"/>
          <w:szCs w:val="18"/>
          <w:vertAlign w:val="baseline"/>
          <w:lang w:val="fr-FR"/>
        </w:rPr>
        <w:t>A/HRC/26/39/Add.2,</w:t>
      </w:r>
      <w:r w:rsidRPr="00E32163">
        <w:rPr>
          <w:szCs w:val="18"/>
          <w:lang w:val="fr-FR"/>
        </w:rPr>
        <w:t xml:space="preserve"> </w:t>
      </w:r>
      <w:r w:rsidRPr="00E32163">
        <w:rPr>
          <w:rStyle w:val="FootnoteReference"/>
          <w:szCs w:val="18"/>
          <w:vertAlign w:val="baseline"/>
          <w:lang w:val="fr-FR"/>
        </w:rPr>
        <w:t>par.</w:t>
      </w:r>
      <w:r w:rsidRPr="0016746E">
        <w:rPr>
          <w:szCs w:val="18"/>
          <w:lang w:val="fr-FR"/>
        </w:rPr>
        <w:t> </w:t>
      </w:r>
      <w:r w:rsidRPr="0016746E">
        <w:rPr>
          <w:rStyle w:val="FootnoteReference"/>
          <w:szCs w:val="18"/>
          <w:vertAlign w:val="baseline"/>
          <w:lang w:val="fr-FR"/>
        </w:rPr>
        <w:t>17</w:t>
      </w:r>
      <w:r w:rsidRPr="0016746E">
        <w:rPr>
          <w:szCs w:val="18"/>
          <w:lang w:val="fr-FR"/>
        </w:rPr>
        <w:t>.</w:t>
      </w:r>
    </w:p>
  </w:footnote>
  <w:footnote w:id="35">
    <w:p w:rsidR="001F1655" w:rsidRPr="006F0F1B" w:rsidRDefault="001F1655" w:rsidP="00E73028">
      <w:pPr>
        <w:pStyle w:val="FootnoteText"/>
        <w:rPr>
          <w:szCs w:val="18"/>
          <w:lang w:val="fr-FR"/>
        </w:rPr>
      </w:pPr>
      <w:r w:rsidRPr="006F0F1B">
        <w:rPr>
          <w:szCs w:val="18"/>
          <w:lang w:val="fr-FR"/>
        </w:rPr>
        <w:tab/>
      </w:r>
      <w:r w:rsidRPr="006F0F1B">
        <w:rPr>
          <w:rStyle w:val="FootnoteReference"/>
          <w:szCs w:val="18"/>
          <w:lang w:val="fr-FR"/>
        </w:rPr>
        <w:footnoteRef/>
      </w:r>
      <w:r w:rsidRPr="006F0F1B">
        <w:rPr>
          <w:szCs w:val="18"/>
          <w:lang w:val="fr-FR"/>
        </w:rPr>
        <w:tab/>
      </w:r>
      <w:r w:rsidRPr="00E73028">
        <w:rPr>
          <w:szCs w:val="18"/>
          <w:lang w:val="fr-FR"/>
        </w:rPr>
        <w:t>Déclaration du Groupe</w:t>
      </w:r>
      <w:r w:rsidRPr="00273ABE">
        <w:rPr>
          <w:szCs w:val="18"/>
          <w:lang w:val="fr-FR"/>
        </w:rPr>
        <w:t xml:space="preserve"> de travail,</w:t>
      </w:r>
      <w:r w:rsidRPr="00E73028">
        <w:rPr>
          <w:szCs w:val="18"/>
          <w:lang w:val="fr-FR"/>
        </w:rPr>
        <w:t xml:space="preserve"> «</w:t>
      </w:r>
      <w:r w:rsidRPr="00E73028">
        <w:rPr>
          <w:color w:val="000000"/>
          <w:szCs w:val="18"/>
          <w:shd w:val="clear" w:color="auto" w:fill="FFFFFF"/>
          <w:lang w:val="fr-FR"/>
        </w:rPr>
        <w:t>Adultery as a criminal offence violates women’s human rights»</w:t>
      </w:r>
      <w:r w:rsidRPr="004D6249">
        <w:rPr>
          <w:color w:val="000000"/>
          <w:szCs w:val="18"/>
          <w:shd w:val="clear" w:color="auto" w:fill="FFFFFF"/>
          <w:lang w:val="fr-FR"/>
        </w:rPr>
        <w:t>,</w:t>
      </w:r>
      <w:r w:rsidRPr="00CD2281">
        <w:rPr>
          <w:color w:val="000000"/>
          <w:szCs w:val="18"/>
          <w:shd w:val="clear" w:color="auto" w:fill="FFFFFF"/>
          <w:lang w:val="fr-FR"/>
        </w:rPr>
        <w:t xml:space="preserve"> 2012, www.ohchr.org/EN/NewsEvents/Pages/DisplayNews.aspx?NewsID=12672&amp;LangID=E.</w:t>
      </w:r>
    </w:p>
  </w:footnote>
  <w:footnote w:id="36">
    <w:p w:rsidR="001F1655" w:rsidRPr="00E32163" w:rsidRDefault="001F1655" w:rsidP="00815375">
      <w:pPr>
        <w:pStyle w:val="FootnoteText"/>
        <w:rPr>
          <w:szCs w:val="18"/>
          <w:lang w:val="fr-FR"/>
        </w:rPr>
      </w:pPr>
      <w:r w:rsidRPr="006F0F1B">
        <w:rPr>
          <w:szCs w:val="18"/>
          <w:lang w:val="fr-FR"/>
        </w:rPr>
        <w:tab/>
      </w:r>
      <w:r w:rsidRPr="006F0F1B">
        <w:rPr>
          <w:rStyle w:val="FootnoteReference"/>
          <w:szCs w:val="18"/>
          <w:lang w:val="fr-FR"/>
        </w:rPr>
        <w:footnoteRef/>
      </w:r>
      <w:r w:rsidRPr="006F0F1B">
        <w:rPr>
          <w:szCs w:val="18"/>
          <w:lang w:val="fr-FR"/>
        </w:rPr>
        <w:tab/>
      </w:r>
      <w:r w:rsidRPr="00273ABE">
        <w:rPr>
          <w:szCs w:val="18"/>
          <w:lang w:val="fr-FR"/>
        </w:rPr>
        <w:t xml:space="preserve">Marsha A. Freeman, Christine Chinkin, Beate Rudolf, </w:t>
      </w:r>
      <w:r w:rsidRPr="00273ABE">
        <w:rPr>
          <w:i/>
          <w:iCs/>
          <w:szCs w:val="18"/>
          <w:lang w:val="fr-FR"/>
        </w:rPr>
        <w:t>The UN Convention on the Elimination of All Forms of Discrimination against Women: A Commentary</w:t>
      </w:r>
      <w:r w:rsidRPr="00DA64F5">
        <w:rPr>
          <w:szCs w:val="18"/>
          <w:lang w:val="fr-FR"/>
        </w:rPr>
        <w:t xml:space="preserve">, </w:t>
      </w:r>
      <w:r w:rsidRPr="00E32163">
        <w:rPr>
          <w:szCs w:val="18"/>
          <w:lang w:val="fr-FR"/>
        </w:rPr>
        <w:t>2012, p. 439.</w:t>
      </w:r>
    </w:p>
  </w:footnote>
  <w:footnote w:id="37">
    <w:p w:rsidR="001F1655" w:rsidRPr="00E73028" w:rsidRDefault="001F1655" w:rsidP="002668AB">
      <w:pPr>
        <w:pStyle w:val="FootnoteText"/>
        <w:rPr>
          <w:szCs w:val="18"/>
          <w:lang w:val="fr-FR"/>
        </w:rPr>
      </w:pPr>
      <w:r w:rsidRPr="0016746E">
        <w:rPr>
          <w:szCs w:val="18"/>
          <w:lang w:val="fr-FR"/>
        </w:rPr>
        <w:tab/>
      </w:r>
      <w:r w:rsidRPr="0016746E">
        <w:rPr>
          <w:rStyle w:val="FootnoteReference"/>
          <w:szCs w:val="18"/>
          <w:lang w:val="fr-FR"/>
        </w:rPr>
        <w:footnoteRef/>
      </w:r>
      <w:r w:rsidRPr="0016746E">
        <w:rPr>
          <w:szCs w:val="18"/>
          <w:lang w:val="fr-FR"/>
        </w:rPr>
        <w:tab/>
        <w:t>Voir A/HRC/23/50/Add.2, par. 7</w:t>
      </w:r>
      <w:r w:rsidRPr="00E73028">
        <w:rPr>
          <w:szCs w:val="18"/>
          <w:lang w:val="fr-FR"/>
        </w:rPr>
        <w:t xml:space="preserve"> et 8.</w:t>
      </w:r>
    </w:p>
  </w:footnote>
  <w:footnote w:id="38">
    <w:p w:rsidR="001F1655" w:rsidRPr="006F0F1B" w:rsidRDefault="001F1655" w:rsidP="00EE7768">
      <w:pPr>
        <w:pStyle w:val="FootnoteText"/>
        <w:rPr>
          <w:szCs w:val="18"/>
          <w:lang w:val="fr-FR"/>
        </w:rPr>
      </w:pPr>
      <w:r w:rsidRPr="00E73028">
        <w:rPr>
          <w:szCs w:val="18"/>
          <w:lang w:val="fr-FR"/>
        </w:rPr>
        <w:tab/>
      </w:r>
      <w:r w:rsidRPr="0016746E">
        <w:rPr>
          <w:rStyle w:val="FootnoteReference"/>
          <w:szCs w:val="18"/>
          <w:lang w:val="fr-FR"/>
        </w:rPr>
        <w:footnoteRef/>
      </w:r>
      <w:r w:rsidRPr="0016746E">
        <w:rPr>
          <w:szCs w:val="18"/>
          <w:lang w:val="fr-FR"/>
        </w:rPr>
        <w:tab/>
        <w:t xml:space="preserve">Voir A/HRC/20/28/Add.1, par. 18 à </w:t>
      </w:r>
      <w:r w:rsidRPr="00E73028">
        <w:rPr>
          <w:szCs w:val="18"/>
          <w:lang w:val="fr-FR"/>
        </w:rPr>
        <w:t>22.</w:t>
      </w:r>
    </w:p>
  </w:footnote>
  <w:footnote w:id="39">
    <w:p w:rsidR="001F1655" w:rsidRPr="006F0F1B" w:rsidRDefault="001F1655" w:rsidP="006F0F1B">
      <w:pPr>
        <w:pStyle w:val="FootnoteText"/>
        <w:rPr>
          <w:szCs w:val="18"/>
          <w:lang w:val="fr-FR"/>
        </w:rPr>
      </w:pPr>
      <w:r w:rsidRPr="006F0F1B">
        <w:rPr>
          <w:szCs w:val="18"/>
          <w:lang w:val="fr-FR"/>
        </w:rPr>
        <w:tab/>
      </w:r>
      <w:r w:rsidRPr="006F0F1B">
        <w:rPr>
          <w:rStyle w:val="FootnoteReference"/>
          <w:szCs w:val="18"/>
          <w:lang w:val="fr-FR"/>
        </w:rPr>
        <w:footnoteRef/>
      </w:r>
      <w:r w:rsidRPr="006F0F1B">
        <w:rPr>
          <w:szCs w:val="18"/>
          <w:lang w:val="fr-FR"/>
        </w:rPr>
        <w:tab/>
        <w:t>Code civil turc (1926).</w:t>
      </w:r>
    </w:p>
  </w:footnote>
  <w:footnote w:id="40">
    <w:p w:rsidR="001F1655" w:rsidRPr="008D0298" w:rsidRDefault="001F1655" w:rsidP="008216BE">
      <w:pPr>
        <w:pStyle w:val="FootnoteText"/>
        <w:rPr>
          <w:lang w:val="fr-CH"/>
        </w:rPr>
      </w:pPr>
      <w:r>
        <w:tab/>
      </w:r>
      <w:r w:rsidRPr="008216BE">
        <w:rPr>
          <w:rStyle w:val="FootnoteReference"/>
        </w:rPr>
        <w:footnoteRef/>
      </w:r>
      <w:r>
        <w:t xml:space="preserve"> </w:t>
      </w:r>
      <w:r>
        <w:tab/>
      </w:r>
      <w:r w:rsidRPr="00273ABE">
        <w:t xml:space="preserve">International Development Law Organization, </w:t>
      </w:r>
      <w:r w:rsidRPr="00273ABE">
        <w:rPr>
          <w:i/>
          <w:iCs/>
        </w:rPr>
        <w:t>Accessing Justice: Models, Strategies and Best Practices on Women’s Empowerment</w:t>
      </w:r>
      <w:r w:rsidRPr="00273ABE">
        <w:t>, 2013, p. 12</w:t>
      </w:r>
      <w:r w:rsidRPr="008D0298">
        <w:rPr>
          <w:lang w:val="fr-CH"/>
        </w:rPr>
        <w:t>.</w:t>
      </w:r>
    </w:p>
  </w:footnote>
  <w:footnote w:id="41">
    <w:p w:rsidR="001F1655" w:rsidRPr="00DA64F5" w:rsidRDefault="001F1655" w:rsidP="006F0F1B">
      <w:pPr>
        <w:pStyle w:val="FootnoteText"/>
        <w:rPr>
          <w:szCs w:val="18"/>
          <w:lang w:val="fr-FR"/>
        </w:rPr>
      </w:pPr>
      <w:r w:rsidRPr="008D0298">
        <w:rPr>
          <w:szCs w:val="18"/>
          <w:lang w:val="fr-FR"/>
        </w:rPr>
        <w:tab/>
      </w:r>
      <w:r w:rsidRPr="006F0F1B">
        <w:rPr>
          <w:rStyle w:val="FootnoteReference"/>
          <w:szCs w:val="18"/>
          <w:lang w:val="fr-FR"/>
        </w:rPr>
        <w:footnoteRef/>
      </w:r>
      <w:r w:rsidRPr="006F0F1B">
        <w:rPr>
          <w:szCs w:val="18"/>
          <w:lang w:val="fr-FR"/>
        </w:rPr>
        <w:tab/>
      </w:r>
      <w:r w:rsidRPr="00DA64F5">
        <w:rPr>
          <w:szCs w:val="18"/>
          <w:lang w:val="fr-FR"/>
        </w:rPr>
        <w:t>Ibid., p. 68.</w:t>
      </w:r>
    </w:p>
  </w:footnote>
  <w:footnote w:id="42">
    <w:p w:rsidR="001F1655" w:rsidRPr="006F0F1B" w:rsidRDefault="001F1655" w:rsidP="006F0F1B">
      <w:pPr>
        <w:pStyle w:val="FootnoteText"/>
        <w:rPr>
          <w:szCs w:val="18"/>
          <w:lang w:val="fr-FR"/>
        </w:rPr>
      </w:pPr>
      <w:r w:rsidRPr="00E73028">
        <w:rPr>
          <w:szCs w:val="18"/>
          <w:lang w:val="fr-FR"/>
        </w:rPr>
        <w:tab/>
      </w:r>
      <w:r w:rsidRPr="00E73028">
        <w:rPr>
          <w:rStyle w:val="FootnoteReference"/>
          <w:szCs w:val="18"/>
          <w:lang w:val="fr-FR"/>
        </w:rPr>
        <w:footnoteRef/>
      </w:r>
      <w:r w:rsidRPr="00E73028">
        <w:rPr>
          <w:szCs w:val="18"/>
          <w:lang w:val="fr-FR"/>
        </w:rPr>
        <w:tab/>
        <w:t>Ibid., p. 77.</w:t>
      </w:r>
    </w:p>
  </w:footnote>
  <w:footnote w:id="43">
    <w:p w:rsidR="001F1655" w:rsidRPr="00DA64F5" w:rsidRDefault="001F1655" w:rsidP="006F0F1B">
      <w:pPr>
        <w:pStyle w:val="FootnoteText"/>
        <w:rPr>
          <w:szCs w:val="18"/>
          <w:lang w:val="fr-FR"/>
        </w:rPr>
      </w:pPr>
      <w:r w:rsidRPr="006F0F1B">
        <w:rPr>
          <w:szCs w:val="18"/>
          <w:lang w:val="fr-FR"/>
        </w:rPr>
        <w:tab/>
      </w:r>
      <w:r w:rsidRPr="006F0F1B">
        <w:rPr>
          <w:rStyle w:val="FootnoteReference"/>
          <w:szCs w:val="18"/>
          <w:lang w:val="fr-FR"/>
        </w:rPr>
        <w:footnoteRef/>
      </w:r>
      <w:r w:rsidRPr="006F0F1B">
        <w:rPr>
          <w:szCs w:val="18"/>
          <w:lang w:val="fr-FR"/>
        </w:rPr>
        <w:tab/>
      </w:r>
      <w:r w:rsidRPr="00DA64F5">
        <w:rPr>
          <w:szCs w:val="18"/>
          <w:lang w:val="fr-FR"/>
        </w:rPr>
        <w:t>Ibid., p. 25.</w:t>
      </w:r>
    </w:p>
  </w:footnote>
  <w:footnote w:id="44">
    <w:p w:rsidR="001F1655" w:rsidRPr="00CD2281" w:rsidRDefault="001F1655" w:rsidP="004740EB">
      <w:pPr>
        <w:pStyle w:val="FootnoteText"/>
        <w:rPr>
          <w:szCs w:val="18"/>
          <w:lang w:val="fr-FR"/>
        </w:rPr>
      </w:pPr>
      <w:r w:rsidRPr="00E32163">
        <w:rPr>
          <w:szCs w:val="18"/>
          <w:lang w:val="fr-FR"/>
        </w:rPr>
        <w:tab/>
      </w:r>
      <w:r w:rsidRPr="00E32163">
        <w:rPr>
          <w:rStyle w:val="FootnoteReference"/>
          <w:szCs w:val="18"/>
          <w:lang w:val="fr-FR"/>
        </w:rPr>
        <w:footnoteRef/>
      </w:r>
      <w:r w:rsidRPr="0016746E">
        <w:rPr>
          <w:szCs w:val="18"/>
          <w:lang w:val="fr-FR"/>
        </w:rPr>
        <w:tab/>
        <w:t xml:space="preserve">Comité </w:t>
      </w:r>
      <w:r w:rsidRPr="0016746E">
        <w:rPr>
          <w:rFonts w:eastAsia="Calibri"/>
          <w:lang w:val="fr-FR"/>
        </w:rPr>
        <w:t>pour l’élimination de la discrimination à l’égard des femmes</w:t>
      </w:r>
      <w:r w:rsidRPr="00DB373F">
        <w:rPr>
          <w:szCs w:val="18"/>
          <w:lang w:val="fr-FR"/>
        </w:rPr>
        <w:t xml:space="preserve">, </w:t>
      </w:r>
      <w:r w:rsidRPr="004D6249">
        <w:rPr>
          <w:szCs w:val="18"/>
          <w:lang w:val="fr-FR"/>
        </w:rPr>
        <w:t>r</w:t>
      </w:r>
      <w:r w:rsidRPr="00CD2281">
        <w:rPr>
          <w:szCs w:val="18"/>
          <w:lang w:val="fr-FR"/>
        </w:rPr>
        <w:t>ecommandation</w:t>
      </w:r>
      <w:r w:rsidRPr="00273ABE">
        <w:rPr>
          <w:szCs w:val="18"/>
          <w:lang w:val="fr-FR"/>
        </w:rPr>
        <w:t>s</w:t>
      </w:r>
      <w:r w:rsidRPr="00DA64F5">
        <w:rPr>
          <w:szCs w:val="18"/>
          <w:lang w:val="fr-FR"/>
        </w:rPr>
        <w:t xml:space="preserve"> générale</w:t>
      </w:r>
      <w:r w:rsidRPr="00273ABE">
        <w:rPr>
          <w:szCs w:val="18"/>
          <w:lang w:val="fr-FR"/>
        </w:rPr>
        <w:t>s</w:t>
      </w:r>
      <w:r w:rsidRPr="00DA64F5">
        <w:rPr>
          <w:szCs w:val="18"/>
          <w:lang w:val="fr-FR"/>
        </w:rPr>
        <w:t xml:space="preserve"> n</w:t>
      </w:r>
      <w:r w:rsidRPr="00DA64F5">
        <w:rPr>
          <w:szCs w:val="18"/>
          <w:vertAlign w:val="superscript"/>
          <w:lang w:val="fr-FR"/>
        </w:rPr>
        <w:t>o</w:t>
      </w:r>
      <w:r w:rsidRPr="00E32163">
        <w:rPr>
          <w:szCs w:val="18"/>
          <w:lang w:val="fr-FR"/>
        </w:rPr>
        <w:t> 21, par. 13</w:t>
      </w:r>
      <w:r w:rsidRPr="00273ABE">
        <w:rPr>
          <w:szCs w:val="18"/>
          <w:lang w:val="fr-FR"/>
        </w:rPr>
        <w:t xml:space="preserve">, et </w:t>
      </w:r>
      <w:r w:rsidRPr="0016746E">
        <w:rPr>
          <w:szCs w:val="18"/>
          <w:lang w:val="fr-FR"/>
        </w:rPr>
        <w:t>n</w:t>
      </w:r>
      <w:r w:rsidRPr="0016746E">
        <w:rPr>
          <w:szCs w:val="18"/>
          <w:vertAlign w:val="superscript"/>
          <w:lang w:val="fr-FR"/>
        </w:rPr>
        <w:t>o</w:t>
      </w:r>
      <w:r w:rsidRPr="00E73028">
        <w:rPr>
          <w:szCs w:val="18"/>
          <w:lang w:val="fr-FR"/>
        </w:rPr>
        <w:t> 29, par. 13</w:t>
      </w:r>
      <w:r w:rsidRPr="00DB373F">
        <w:rPr>
          <w:szCs w:val="18"/>
          <w:lang w:val="fr-FR"/>
        </w:rPr>
        <w:t xml:space="preserve"> et</w:t>
      </w:r>
      <w:r w:rsidRPr="004D6249">
        <w:rPr>
          <w:szCs w:val="18"/>
          <w:lang w:val="fr-FR"/>
        </w:rPr>
        <w:t xml:space="preserve"> </w:t>
      </w:r>
      <w:r w:rsidRPr="00CD2281">
        <w:rPr>
          <w:szCs w:val="18"/>
          <w:lang w:val="fr-FR"/>
        </w:rPr>
        <w:t>14.</w:t>
      </w:r>
    </w:p>
  </w:footnote>
  <w:footnote w:id="45">
    <w:p w:rsidR="001F1655" w:rsidRPr="006F0F1B" w:rsidRDefault="001F1655" w:rsidP="00A27B94">
      <w:pPr>
        <w:pStyle w:val="FootnoteText"/>
        <w:rPr>
          <w:szCs w:val="18"/>
          <w:lang w:val="fr-FR"/>
        </w:rPr>
      </w:pPr>
      <w:r w:rsidRPr="00CD2281">
        <w:rPr>
          <w:szCs w:val="18"/>
          <w:lang w:val="fr-FR"/>
        </w:rPr>
        <w:tab/>
      </w:r>
      <w:r w:rsidRPr="0016746E">
        <w:rPr>
          <w:rStyle w:val="FootnoteReference"/>
          <w:szCs w:val="18"/>
          <w:lang w:val="fr-FR"/>
        </w:rPr>
        <w:footnoteRef/>
      </w:r>
      <w:r w:rsidRPr="0016746E">
        <w:rPr>
          <w:szCs w:val="18"/>
          <w:lang w:val="fr-FR"/>
        </w:rPr>
        <w:tab/>
        <w:t xml:space="preserve">Comité </w:t>
      </w:r>
      <w:r w:rsidRPr="0016746E">
        <w:rPr>
          <w:rFonts w:eastAsia="Calibri"/>
          <w:lang w:val="fr-FR"/>
        </w:rPr>
        <w:t>pour l’élimination de la discrimination à l’égard des femmes</w:t>
      </w:r>
      <w:r w:rsidRPr="00E73028">
        <w:rPr>
          <w:szCs w:val="18"/>
          <w:lang w:val="fr-FR"/>
        </w:rPr>
        <w:t xml:space="preserve">, </w:t>
      </w:r>
      <w:r w:rsidRPr="00DB373F">
        <w:rPr>
          <w:szCs w:val="18"/>
          <w:lang w:val="fr-FR"/>
        </w:rPr>
        <w:t>r</w:t>
      </w:r>
      <w:r w:rsidRPr="004D6249">
        <w:rPr>
          <w:szCs w:val="18"/>
          <w:lang w:val="fr-FR"/>
        </w:rPr>
        <w:t>ecommandation générale n</w:t>
      </w:r>
      <w:r w:rsidRPr="00CD2281">
        <w:rPr>
          <w:szCs w:val="18"/>
          <w:vertAlign w:val="superscript"/>
          <w:lang w:val="fr-FR"/>
        </w:rPr>
        <w:t>o</w:t>
      </w:r>
      <w:r w:rsidRPr="00CD2281">
        <w:rPr>
          <w:szCs w:val="18"/>
          <w:lang w:val="fr-FR"/>
        </w:rPr>
        <w:t> 21, par. 44.</w:t>
      </w:r>
    </w:p>
  </w:footnote>
  <w:footnote w:id="46">
    <w:p w:rsidR="001F1655" w:rsidRPr="006F0F1B" w:rsidRDefault="001F1655" w:rsidP="00E73028">
      <w:pPr>
        <w:pStyle w:val="FootnoteText"/>
        <w:rPr>
          <w:szCs w:val="18"/>
          <w:lang w:val="fr-FR"/>
        </w:rPr>
      </w:pPr>
      <w:r w:rsidRPr="006F0F1B">
        <w:rPr>
          <w:szCs w:val="18"/>
          <w:lang w:val="fr-FR"/>
        </w:rPr>
        <w:tab/>
      </w:r>
      <w:r w:rsidRPr="006F0F1B">
        <w:rPr>
          <w:rStyle w:val="FootnoteReference"/>
          <w:szCs w:val="18"/>
          <w:lang w:val="fr-FR"/>
        </w:rPr>
        <w:footnoteRef/>
      </w:r>
      <w:r w:rsidRPr="006F0F1B">
        <w:rPr>
          <w:szCs w:val="18"/>
          <w:lang w:val="fr-FR"/>
        </w:rPr>
        <w:tab/>
      </w:r>
      <w:r w:rsidRPr="00E73028">
        <w:rPr>
          <w:szCs w:val="18"/>
          <w:lang w:val="fr-FR"/>
        </w:rPr>
        <w:t xml:space="preserve">Comité </w:t>
      </w:r>
      <w:r w:rsidRPr="00DB373F">
        <w:rPr>
          <w:rFonts w:eastAsia="Calibri"/>
          <w:lang w:val="fr-FR"/>
        </w:rPr>
        <w:t>pour l’élimination de la discrimination à l’égard des femmes</w:t>
      </w:r>
      <w:r w:rsidRPr="00DB373F">
        <w:rPr>
          <w:szCs w:val="18"/>
          <w:lang w:val="fr-FR"/>
        </w:rPr>
        <w:t xml:space="preserve">, </w:t>
      </w:r>
      <w:r w:rsidRPr="00CD2281">
        <w:rPr>
          <w:szCs w:val="18"/>
          <w:lang w:val="fr-FR"/>
        </w:rPr>
        <w:t>recommandation générale n</w:t>
      </w:r>
      <w:r w:rsidRPr="00CD2281">
        <w:rPr>
          <w:szCs w:val="18"/>
          <w:vertAlign w:val="superscript"/>
          <w:lang w:val="fr-FR"/>
        </w:rPr>
        <w:t>o</w:t>
      </w:r>
      <w:r w:rsidRPr="00CD2281">
        <w:rPr>
          <w:szCs w:val="18"/>
          <w:lang w:val="fr-FR"/>
        </w:rPr>
        <w:t> 28,</w:t>
      </w:r>
      <w:r w:rsidRPr="006F0F1B">
        <w:rPr>
          <w:szCs w:val="18"/>
          <w:lang w:val="fr-FR"/>
        </w:rPr>
        <w:t xml:space="preserve"> </w:t>
      </w:r>
      <w:r w:rsidRPr="00AB5618">
        <w:rPr>
          <w:szCs w:val="18"/>
          <w:lang w:val="fr-FR"/>
        </w:rPr>
        <w:t>par. 12</w:t>
      </w:r>
      <w:r w:rsidRPr="00273ABE">
        <w:rPr>
          <w:szCs w:val="18"/>
          <w:lang w:val="fr-FR"/>
        </w:rPr>
        <w:t xml:space="preserve"> à </w:t>
      </w:r>
      <w:r w:rsidRPr="00AB5618">
        <w:rPr>
          <w:szCs w:val="18"/>
          <w:lang w:val="fr-FR"/>
        </w:rPr>
        <w:t>33</w:t>
      </w:r>
      <w:r w:rsidRPr="006F0F1B">
        <w:rPr>
          <w:szCs w:val="18"/>
          <w:lang w:val="fr-FR"/>
        </w:rPr>
        <w:t>.</w:t>
      </w:r>
    </w:p>
  </w:footnote>
  <w:footnote w:id="47">
    <w:p w:rsidR="001F1655" w:rsidRPr="00273ABE" w:rsidRDefault="001F1655" w:rsidP="006A5AA5">
      <w:pPr>
        <w:pStyle w:val="FootnoteText"/>
        <w:rPr>
          <w:lang w:val="fr-CH"/>
        </w:rPr>
      </w:pPr>
      <w:r>
        <w:rPr>
          <w:lang w:val="fr-CH"/>
        </w:rPr>
        <w:tab/>
      </w:r>
      <w:r>
        <w:rPr>
          <w:rStyle w:val="FootnoteReference"/>
        </w:rPr>
        <w:footnoteRef/>
      </w:r>
      <w:r w:rsidRPr="00273ABE">
        <w:rPr>
          <w:lang w:val="fr-FR"/>
        </w:rPr>
        <w:t xml:space="preserve"> </w:t>
      </w:r>
      <w:r>
        <w:rPr>
          <w:lang w:val="fr-CH"/>
        </w:rPr>
        <w:tab/>
      </w:r>
      <w:r w:rsidRPr="00E73028">
        <w:rPr>
          <w:lang w:val="fr-CH"/>
        </w:rPr>
        <w:t>Eleanor Roosevelt, «Entre nos mai</w:t>
      </w:r>
      <w:r w:rsidRPr="00DB373F">
        <w:rPr>
          <w:lang w:val="fr-CH"/>
        </w:rPr>
        <w:t>ns», discours prononcé le 27 mars 1958 à l’occasion</w:t>
      </w:r>
      <w:r w:rsidRPr="00951256">
        <w:rPr>
          <w:lang w:val="fr-CH"/>
        </w:rPr>
        <w:t xml:space="preserve"> du dixième anniversaire de la proclamation de la Déclaration universelle des droits de l’homme</w:t>
      </w:r>
      <w:r>
        <w:rPr>
          <w:lang w:val="fr-CH"/>
        </w:rPr>
        <w:t xml:space="preserve">, dans </w:t>
      </w:r>
      <w:r w:rsidRPr="00273ABE">
        <w:rPr>
          <w:i/>
          <w:iCs/>
          <w:lang w:val="fr-CH"/>
        </w:rPr>
        <w:t>ABC:</w:t>
      </w:r>
      <w:r w:rsidRPr="00DB373F">
        <w:rPr>
          <w:i/>
          <w:iCs/>
          <w:lang w:val="fr-CH"/>
        </w:rPr>
        <w:t> </w:t>
      </w:r>
      <w:r w:rsidRPr="00273ABE">
        <w:rPr>
          <w:i/>
          <w:iCs/>
          <w:lang w:val="fr-CH"/>
        </w:rPr>
        <w:t>L’enseignement des droits de l’homme – Activités pratiques pour les écoles primaires et secondaires</w:t>
      </w:r>
      <w:r w:rsidRPr="00DB373F">
        <w:rPr>
          <w:lang w:val="fr-CH"/>
        </w:rPr>
        <w:t>,</w:t>
      </w:r>
      <w:r w:rsidRPr="004D6249">
        <w:rPr>
          <w:lang w:val="fr-CH"/>
        </w:rPr>
        <w:t xml:space="preserve"> Nations Unies, New York et Genève, 2004, p</w:t>
      </w:r>
      <w:r>
        <w:rPr>
          <w:lang w:val="fr-CH"/>
        </w:rPr>
        <w:t>. 11.</w:t>
      </w:r>
    </w:p>
  </w:footnote>
  <w:footnote w:id="48">
    <w:p w:rsidR="001F1655" w:rsidRPr="006F0F1B" w:rsidRDefault="001F1655" w:rsidP="006F0F1B">
      <w:pPr>
        <w:pStyle w:val="FootnoteText"/>
        <w:rPr>
          <w:szCs w:val="18"/>
          <w:lang w:val="fr-FR"/>
        </w:rPr>
      </w:pPr>
      <w:r w:rsidRPr="006F0F1B">
        <w:rPr>
          <w:szCs w:val="18"/>
          <w:lang w:val="fr-FR"/>
        </w:rPr>
        <w:tab/>
      </w:r>
      <w:r w:rsidRPr="006F0F1B">
        <w:rPr>
          <w:rStyle w:val="FootnoteReference"/>
          <w:szCs w:val="18"/>
          <w:lang w:val="fr-FR"/>
        </w:rPr>
        <w:footnoteRef/>
      </w:r>
      <w:r w:rsidRPr="006F0F1B">
        <w:rPr>
          <w:szCs w:val="18"/>
          <w:lang w:val="fr-FR"/>
        </w:rPr>
        <w:tab/>
      </w:r>
      <w:r w:rsidRPr="006F0F1B">
        <w:rPr>
          <w:bCs/>
          <w:szCs w:val="18"/>
          <w:lang w:val="fr-FR" w:eastAsia="en-GB"/>
        </w:rPr>
        <w:t>A</w:t>
      </w:r>
      <w:r w:rsidRPr="004A6CCF">
        <w:rPr>
          <w:bCs/>
          <w:szCs w:val="18"/>
          <w:lang w:val="fr-FR" w:eastAsia="en-GB"/>
        </w:rPr>
        <w:t>/67/287, par.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55" w:rsidRPr="006879D2" w:rsidRDefault="001F1655" w:rsidP="006F0F1B">
    <w:pPr>
      <w:pStyle w:val="Header"/>
    </w:pPr>
    <w:r>
      <w:t>A/HRC/29/40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55" w:rsidRPr="006879D2" w:rsidRDefault="001F1655" w:rsidP="006F0F1B">
    <w:pPr>
      <w:pStyle w:val="Header"/>
      <w:jc w:val="right"/>
    </w:pPr>
    <w:r>
      <w:t>A/HRC/29/40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E8CA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3699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64D4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48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7894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8D16B7"/>
    <w:multiLevelType w:val="hybridMultilevel"/>
    <w:tmpl w:val="9392F4FC"/>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3" w15:restartNumberingAfterBreak="0">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706755F"/>
    <w:multiLevelType w:val="hybridMultilevel"/>
    <w:tmpl w:val="E39ECEBA"/>
    <w:lvl w:ilvl="0" w:tplc="2482E1A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9EF604D"/>
    <w:multiLevelType w:val="hybridMultilevel"/>
    <w:tmpl w:val="D9007E98"/>
    <w:lvl w:ilvl="0" w:tplc="30964834">
      <w:start w:val="1"/>
      <w:numFmt w:val="upp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615762C"/>
    <w:multiLevelType w:val="hybridMultilevel"/>
    <w:tmpl w:val="5BC03F54"/>
    <w:lvl w:ilvl="0" w:tplc="21FABE7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DC4BE4"/>
    <w:multiLevelType w:val="hybridMultilevel"/>
    <w:tmpl w:val="4D12185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67087CAF"/>
    <w:multiLevelType w:val="hybridMultilevel"/>
    <w:tmpl w:val="05A03600"/>
    <w:lvl w:ilvl="0" w:tplc="FB9ACF6A">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C8319EA"/>
    <w:multiLevelType w:val="hybridMultilevel"/>
    <w:tmpl w:val="B0E81F72"/>
    <w:lvl w:ilvl="0" w:tplc="90EC52E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91451A"/>
    <w:multiLevelType w:val="hybridMultilevel"/>
    <w:tmpl w:val="784EA5CA"/>
    <w:lvl w:ilvl="0" w:tplc="A95470B6">
      <w:start w:val="1"/>
      <w:numFmt w:val="decimal"/>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5C01FE1"/>
    <w:multiLevelType w:val="hybridMultilevel"/>
    <w:tmpl w:val="E4D0921E"/>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C4D7673"/>
    <w:multiLevelType w:val="hybridMultilevel"/>
    <w:tmpl w:val="7AB60826"/>
    <w:lvl w:ilvl="0" w:tplc="65AE562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28"/>
  </w:num>
  <w:num w:numId="2">
    <w:abstractNumId w:val="12"/>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3"/>
  </w:num>
  <w:num w:numId="14">
    <w:abstractNumId w:val="26"/>
  </w:num>
  <w:num w:numId="15">
    <w:abstractNumId w:val="22"/>
  </w:num>
  <w:num w:numId="16">
    <w:abstractNumId w:val="21"/>
  </w:num>
  <w:num w:numId="17">
    <w:abstractNumId w:val="14"/>
  </w:num>
  <w:num w:numId="18">
    <w:abstractNumId w:val="21"/>
  </w:num>
  <w:num w:numId="19">
    <w:abstractNumId w:val="14"/>
  </w:num>
  <w:num w:numId="20">
    <w:abstractNumId w:val="21"/>
  </w:num>
  <w:num w:numId="21">
    <w:abstractNumId w:val="14"/>
  </w:num>
  <w:num w:numId="22">
    <w:abstractNumId w:val="10"/>
  </w:num>
  <w:num w:numId="23">
    <w:abstractNumId w:val="20"/>
  </w:num>
  <w:num w:numId="24">
    <w:abstractNumId w:val="11"/>
  </w:num>
  <w:num w:numId="25">
    <w:abstractNumId w:val="17"/>
  </w:num>
  <w:num w:numId="26">
    <w:abstractNumId w:val="25"/>
  </w:num>
  <w:num w:numId="27">
    <w:abstractNumId w:val="24"/>
  </w:num>
  <w:num w:numId="28">
    <w:abstractNumId w:val="27"/>
  </w:num>
  <w:num w:numId="29">
    <w:abstractNumId w:val="15"/>
  </w:num>
  <w:num w:numId="30">
    <w:abstractNumId w:val="23"/>
  </w:num>
  <w:num w:numId="31">
    <w:abstractNumId w:val="16"/>
  </w:num>
  <w:num w:numId="32">
    <w:abstractNumId w:val="18"/>
  </w:num>
  <w:num w:numId="33">
    <w:abstractNumId w:val="19"/>
  </w:num>
  <w:num w:numId="34">
    <w:abstractNumId w:val="10"/>
  </w:num>
  <w:num w:numId="35">
    <w:abstractNumId w:val="1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 w:numId="49">
    <w:abstractNumId w:val="20"/>
  </w:num>
  <w:num w:numId="50">
    <w:abstractNumId w:val="20"/>
  </w:num>
  <w:num w:numId="51">
    <w:abstractNumId w:val="20"/>
  </w:num>
  <w:num w:numId="52">
    <w:abstractNumId w:val="20"/>
  </w:num>
  <w:num w:numId="53">
    <w:abstractNumId w:val="20"/>
  </w:num>
  <w:num w:numId="54">
    <w:abstractNumId w:val="20"/>
  </w:num>
  <w:num w:numId="55">
    <w:abstractNumId w:val="20"/>
  </w:num>
  <w:num w:numId="56">
    <w:abstractNumId w:val="20"/>
  </w:num>
  <w:num w:numId="57">
    <w:abstractNumId w:val="20"/>
  </w:num>
  <w:num w:numId="58">
    <w:abstractNumId w:val="10"/>
  </w:num>
  <w:num w:numId="59">
    <w:abstractNumId w:val="10"/>
  </w:num>
  <w:num w:numId="60">
    <w:abstractNumId w:val="10"/>
  </w:num>
  <w:num w:numId="61">
    <w:abstractNumId w:val="10"/>
  </w:num>
  <w:num w:numId="62">
    <w:abstractNumId w:val="10"/>
  </w:num>
  <w:num w:numId="63">
    <w:abstractNumId w:val="10"/>
  </w:num>
  <w:num w:numId="64">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D2"/>
    <w:rsid w:val="000022D8"/>
    <w:rsid w:val="00011D1C"/>
    <w:rsid w:val="000159DF"/>
    <w:rsid w:val="00016AC5"/>
    <w:rsid w:val="00025771"/>
    <w:rsid w:val="00027EA8"/>
    <w:rsid w:val="00036618"/>
    <w:rsid w:val="0004348D"/>
    <w:rsid w:val="000528A7"/>
    <w:rsid w:val="000529DC"/>
    <w:rsid w:val="00057BC0"/>
    <w:rsid w:val="0008047D"/>
    <w:rsid w:val="0008167F"/>
    <w:rsid w:val="00081D93"/>
    <w:rsid w:val="00093005"/>
    <w:rsid w:val="00094A38"/>
    <w:rsid w:val="00096818"/>
    <w:rsid w:val="000B00B8"/>
    <w:rsid w:val="000C6BF1"/>
    <w:rsid w:val="000C7245"/>
    <w:rsid w:val="000D2D23"/>
    <w:rsid w:val="000D7F04"/>
    <w:rsid w:val="000E03D2"/>
    <w:rsid w:val="000E7EB4"/>
    <w:rsid w:val="000F16DD"/>
    <w:rsid w:val="000F41F2"/>
    <w:rsid w:val="000F675D"/>
    <w:rsid w:val="0011219D"/>
    <w:rsid w:val="00120EEB"/>
    <w:rsid w:val="00133B7A"/>
    <w:rsid w:val="00134DB6"/>
    <w:rsid w:val="001370FA"/>
    <w:rsid w:val="0014182F"/>
    <w:rsid w:val="001438CE"/>
    <w:rsid w:val="00146D9A"/>
    <w:rsid w:val="00147C81"/>
    <w:rsid w:val="00153B2E"/>
    <w:rsid w:val="00160540"/>
    <w:rsid w:val="00161D01"/>
    <w:rsid w:val="00161EB5"/>
    <w:rsid w:val="00162027"/>
    <w:rsid w:val="0016746E"/>
    <w:rsid w:val="0016790D"/>
    <w:rsid w:val="00170BBF"/>
    <w:rsid w:val="00172B99"/>
    <w:rsid w:val="001902C9"/>
    <w:rsid w:val="00192EEB"/>
    <w:rsid w:val="001972C2"/>
    <w:rsid w:val="001A20FB"/>
    <w:rsid w:val="001A2960"/>
    <w:rsid w:val="001A352B"/>
    <w:rsid w:val="001A3E0A"/>
    <w:rsid w:val="001A500B"/>
    <w:rsid w:val="001A5405"/>
    <w:rsid w:val="001C2AF4"/>
    <w:rsid w:val="001C3925"/>
    <w:rsid w:val="001C6647"/>
    <w:rsid w:val="001D2736"/>
    <w:rsid w:val="001D415A"/>
    <w:rsid w:val="001D7008"/>
    <w:rsid w:val="001E0AC4"/>
    <w:rsid w:val="001E125C"/>
    <w:rsid w:val="001E3FEB"/>
    <w:rsid w:val="001E4A02"/>
    <w:rsid w:val="001F1655"/>
    <w:rsid w:val="001F17F3"/>
    <w:rsid w:val="001F2954"/>
    <w:rsid w:val="00203C09"/>
    <w:rsid w:val="00205A01"/>
    <w:rsid w:val="002115CE"/>
    <w:rsid w:val="00224BB9"/>
    <w:rsid w:val="00250230"/>
    <w:rsid w:val="0026445F"/>
    <w:rsid w:val="002659F1"/>
    <w:rsid w:val="002668AB"/>
    <w:rsid w:val="00272691"/>
    <w:rsid w:val="00273ABE"/>
    <w:rsid w:val="00274BC0"/>
    <w:rsid w:val="00275B1C"/>
    <w:rsid w:val="002808B8"/>
    <w:rsid w:val="0028253A"/>
    <w:rsid w:val="0028487E"/>
    <w:rsid w:val="00287E79"/>
    <w:rsid w:val="002928F9"/>
    <w:rsid w:val="002A3128"/>
    <w:rsid w:val="002A3203"/>
    <w:rsid w:val="002A3AB7"/>
    <w:rsid w:val="002A4DCC"/>
    <w:rsid w:val="002A59F8"/>
    <w:rsid w:val="002A5D07"/>
    <w:rsid w:val="002B189E"/>
    <w:rsid w:val="002B305E"/>
    <w:rsid w:val="002B59A5"/>
    <w:rsid w:val="002C28F2"/>
    <w:rsid w:val="002C5526"/>
    <w:rsid w:val="002C6E6D"/>
    <w:rsid w:val="002D18A3"/>
    <w:rsid w:val="002D53D2"/>
    <w:rsid w:val="002D54FB"/>
    <w:rsid w:val="002E0F95"/>
    <w:rsid w:val="002F1E88"/>
    <w:rsid w:val="002F2910"/>
    <w:rsid w:val="002F2C7C"/>
    <w:rsid w:val="002F6A03"/>
    <w:rsid w:val="003016B7"/>
    <w:rsid w:val="00306AA1"/>
    <w:rsid w:val="00324022"/>
    <w:rsid w:val="00336A75"/>
    <w:rsid w:val="003515AA"/>
    <w:rsid w:val="003551BA"/>
    <w:rsid w:val="00361484"/>
    <w:rsid w:val="003679B0"/>
    <w:rsid w:val="00373042"/>
    <w:rsid w:val="00374106"/>
    <w:rsid w:val="0037787B"/>
    <w:rsid w:val="003800E1"/>
    <w:rsid w:val="00387DD2"/>
    <w:rsid w:val="003976D5"/>
    <w:rsid w:val="003A2D66"/>
    <w:rsid w:val="003B088C"/>
    <w:rsid w:val="003B1BF8"/>
    <w:rsid w:val="003B4632"/>
    <w:rsid w:val="003B4CD6"/>
    <w:rsid w:val="003C0914"/>
    <w:rsid w:val="003C5E09"/>
    <w:rsid w:val="003D5D72"/>
    <w:rsid w:val="003D6C68"/>
    <w:rsid w:val="003E693D"/>
    <w:rsid w:val="003E6A6D"/>
    <w:rsid w:val="003E6ACD"/>
    <w:rsid w:val="00400881"/>
    <w:rsid w:val="00403394"/>
    <w:rsid w:val="00404620"/>
    <w:rsid w:val="004159D0"/>
    <w:rsid w:val="00415E19"/>
    <w:rsid w:val="00420B2F"/>
    <w:rsid w:val="00422142"/>
    <w:rsid w:val="0043180F"/>
    <w:rsid w:val="00442A54"/>
    <w:rsid w:val="00446605"/>
    <w:rsid w:val="00451343"/>
    <w:rsid w:val="00453816"/>
    <w:rsid w:val="004575B5"/>
    <w:rsid w:val="00457B26"/>
    <w:rsid w:val="00462842"/>
    <w:rsid w:val="00471DD2"/>
    <w:rsid w:val="004740EB"/>
    <w:rsid w:val="0047502B"/>
    <w:rsid w:val="004752F0"/>
    <w:rsid w:val="00481744"/>
    <w:rsid w:val="004865E6"/>
    <w:rsid w:val="004874F0"/>
    <w:rsid w:val="004A6CCF"/>
    <w:rsid w:val="004B2758"/>
    <w:rsid w:val="004B2F4D"/>
    <w:rsid w:val="004B765B"/>
    <w:rsid w:val="004D2E1B"/>
    <w:rsid w:val="004D6249"/>
    <w:rsid w:val="004E0A11"/>
    <w:rsid w:val="004E2A67"/>
    <w:rsid w:val="004E5692"/>
    <w:rsid w:val="00500AB3"/>
    <w:rsid w:val="00514FA6"/>
    <w:rsid w:val="005154FC"/>
    <w:rsid w:val="00515E4C"/>
    <w:rsid w:val="00525382"/>
    <w:rsid w:val="005258C4"/>
    <w:rsid w:val="0053283A"/>
    <w:rsid w:val="005333DF"/>
    <w:rsid w:val="00536AC1"/>
    <w:rsid w:val="00536CD3"/>
    <w:rsid w:val="005433F4"/>
    <w:rsid w:val="005461B1"/>
    <w:rsid w:val="00547D3F"/>
    <w:rsid w:val="0055010F"/>
    <w:rsid w:val="00550D6C"/>
    <w:rsid w:val="00556F98"/>
    <w:rsid w:val="005650C1"/>
    <w:rsid w:val="00567C9C"/>
    <w:rsid w:val="00571F41"/>
    <w:rsid w:val="005760EB"/>
    <w:rsid w:val="0058551F"/>
    <w:rsid w:val="005903BC"/>
    <w:rsid w:val="00594033"/>
    <w:rsid w:val="00597CAE"/>
    <w:rsid w:val="005B0E15"/>
    <w:rsid w:val="005E3A74"/>
    <w:rsid w:val="005E5D1F"/>
    <w:rsid w:val="005E778E"/>
    <w:rsid w:val="005E794F"/>
    <w:rsid w:val="005F2F66"/>
    <w:rsid w:val="005F3C2D"/>
    <w:rsid w:val="005F56AB"/>
    <w:rsid w:val="006027A8"/>
    <w:rsid w:val="00605A46"/>
    <w:rsid w:val="00612D48"/>
    <w:rsid w:val="00616B45"/>
    <w:rsid w:val="006174C9"/>
    <w:rsid w:val="00620AF7"/>
    <w:rsid w:val="00625642"/>
    <w:rsid w:val="00626302"/>
    <w:rsid w:val="00631BD0"/>
    <w:rsid w:val="006402CD"/>
    <w:rsid w:val="00642085"/>
    <w:rsid w:val="006439EC"/>
    <w:rsid w:val="0066166E"/>
    <w:rsid w:val="0066171C"/>
    <w:rsid w:val="00661D91"/>
    <w:rsid w:val="00663E04"/>
    <w:rsid w:val="00671679"/>
    <w:rsid w:val="00672A45"/>
    <w:rsid w:val="006739B9"/>
    <w:rsid w:val="00677F74"/>
    <w:rsid w:val="00680832"/>
    <w:rsid w:val="00681809"/>
    <w:rsid w:val="006879D2"/>
    <w:rsid w:val="0069363C"/>
    <w:rsid w:val="006A4BB1"/>
    <w:rsid w:val="006A5AA5"/>
    <w:rsid w:val="006A7DA6"/>
    <w:rsid w:val="006B03CA"/>
    <w:rsid w:val="006B4590"/>
    <w:rsid w:val="006B4983"/>
    <w:rsid w:val="006B6B72"/>
    <w:rsid w:val="006C1EA8"/>
    <w:rsid w:val="006C340C"/>
    <w:rsid w:val="006C4F93"/>
    <w:rsid w:val="006C5779"/>
    <w:rsid w:val="006D2349"/>
    <w:rsid w:val="006D6CD4"/>
    <w:rsid w:val="006E143B"/>
    <w:rsid w:val="006E1CD0"/>
    <w:rsid w:val="006F0F1B"/>
    <w:rsid w:val="006F4001"/>
    <w:rsid w:val="006F40D3"/>
    <w:rsid w:val="006F5951"/>
    <w:rsid w:val="006F763B"/>
    <w:rsid w:val="00702E02"/>
    <w:rsid w:val="0070347C"/>
    <w:rsid w:val="0071028B"/>
    <w:rsid w:val="00710B66"/>
    <w:rsid w:val="007110FD"/>
    <w:rsid w:val="0071143A"/>
    <w:rsid w:val="00717A4F"/>
    <w:rsid w:val="00723CCE"/>
    <w:rsid w:val="00727A37"/>
    <w:rsid w:val="00734850"/>
    <w:rsid w:val="00736F92"/>
    <w:rsid w:val="00750CEA"/>
    <w:rsid w:val="00754C14"/>
    <w:rsid w:val="0075548F"/>
    <w:rsid w:val="00757464"/>
    <w:rsid w:val="00757B26"/>
    <w:rsid w:val="007602DF"/>
    <w:rsid w:val="007632AD"/>
    <w:rsid w:val="00773AAD"/>
    <w:rsid w:val="00774913"/>
    <w:rsid w:val="00785882"/>
    <w:rsid w:val="00785C6A"/>
    <w:rsid w:val="007918A7"/>
    <w:rsid w:val="007950CE"/>
    <w:rsid w:val="00797E95"/>
    <w:rsid w:val="007A4C0A"/>
    <w:rsid w:val="007B0303"/>
    <w:rsid w:val="007B4AD1"/>
    <w:rsid w:val="007C5331"/>
    <w:rsid w:val="007D29C6"/>
    <w:rsid w:val="007D30F7"/>
    <w:rsid w:val="007D3350"/>
    <w:rsid w:val="007F007B"/>
    <w:rsid w:val="007F13DC"/>
    <w:rsid w:val="007F253A"/>
    <w:rsid w:val="00800791"/>
    <w:rsid w:val="008045FE"/>
    <w:rsid w:val="0081197C"/>
    <w:rsid w:val="00814BCF"/>
    <w:rsid w:val="00815375"/>
    <w:rsid w:val="008216BE"/>
    <w:rsid w:val="00831B97"/>
    <w:rsid w:val="00835595"/>
    <w:rsid w:val="00836253"/>
    <w:rsid w:val="00837AA5"/>
    <w:rsid w:val="008439F6"/>
    <w:rsid w:val="00844750"/>
    <w:rsid w:val="00847D3A"/>
    <w:rsid w:val="008629E3"/>
    <w:rsid w:val="00862FBF"/>
    <w:rsid w:val="008815F3"/>
    <w:rsid w:val="008921DD"/>
    <w:rsid w:val="0089595B"/>
    <w:rsid w:val="00896432"/>
    <w:rsid w:val="008A6E55"/>
    <w:rsid w:val="008B202B"/>
    <w:rsid w:val="008B45B7"/>
    <w:rsid w:val="008C2F17"/>
    <w:rsid w:val="008D0298"/>
    <w:rsid w:val="008D395E"/>
    <w:rsid w:val="008D41FA"/>
    <w:rsid w:val="008D4793"/>
    <w:rsid w:val="008D4CAA"/>
    <w:rsid w:val="008E078D"/>
    <w:rsid w:val="008E12B0"/>
    <w:rsid w:val="008E7FAE"/>
    <w:rsid w:val="008F0807"/>
    <w:rsid w:val="008F4DBB"/>
    <w:rsid w:val="008F57E5"/>
    <w:rsid w:val="008F6973"/>
    <w:rsid w:val="00903159"/>
    <w:rsid w:val="00905BBE"/>
    <w:rsid w:val="00907E9B"/>
    <w:rsid w:val="00911BF7"/>
    <w:rsid w:val="009249C3"/>
    <w:rsid w:val="00951256"/>
    <w:rsid w:val="00961CF9"/>
    <w:rsid w:val="00962988"/>
    <w:rsid w:val="00963C67"/>
    <w:rsid w:val="009669B5"/>
    <w:rsid w:val="0096714A"/>
    <w:rsid w:val="009731E9"/>
    <w:rsid w:val="00977EC8"/>
    <w:rsid w:val="00981244"/>
    <w:rsid w:val="009815C0"/>
    <w:rsid w:val="00983353"/>
    <w:rsid w:val="009841E5"/>
    <w:rsid w:val="00993189"/>
    <w:rsid w:val="00997146"/>
    <w:rsid w:val="009A398C"/>
    <w:rsid w:val="009A3C92"/>
    <w:rsid w:val="009A3E28"/>
    <w:rsid w:val="009B5491"/>
    <w:rsid w:val="009C0C62"/>
    <w:rsid w:val="009C4FDA"/>
    <w:rsid w:val="009D0755"/>
    <w:rsid w:val="009D3A8C"/>
    <w:rsid w:val="009D5279"/>
    <w:rsid w:val="009D6BA3"/>
    <w:rsid w:val="009E763E"/>
    <w:rsid w:val="009E7956"/>
    <w:rsid w:val="009F2348"/>
    <w:rsid w:val="009F326C"/>
    <w:rsid w:val="00A01E87"/>
    <w:rsid w:val="00A118DC"/>
    <w:rsid w:val="00A21970"/>
    <w:rsid w:val="00A224AF"/>
    <w:rsid w:val="00A229C4"/>
    <w:rsid w:val="00A2492E"/>
    <w:rsid w:val="00A27B94"/>
    <w:rsid w:val="00A34206"/>
    <w:rsid w:val="00A34793"/>
    <w:rsid w:val="00A40366"/>
    <w:rsid w:val="00A41FCA"/>
    <w:rsid w:val="00A63BBD"/>
    <w:rsid w:val="00A7634E"/>
    <w:rsid w:val="00A8374C"/>
    <w:rsid w:val="00A86D3A"/>
    <w:rsid w:val="00A954DF"/>
    <w:rsid w:val="00AA5730"/>
    <w:rsid w:val="00AB5618"/>
    <w:rsid w:val="00AB574C"/>
    <w:rsid w:val="00AB6BDC"/>
    <w:rsid w:val="00AC2714"/>
    <w:rsid w:val="00AC47AD"/>
    <w:rsid w:val="00AC7977"/>
    <w:rsid w:val="00AD2CCE"/>
    <w:rsid w:val="00AE1808"/>
    <w:rsid w:val="00AE352C"/>
    <w:rsid w:val="00AE7DC6"/>
    <w:rsid w:val="00AF5C16"/>
    <w:rsid w:val="00B013FC"/>
    <w:rsid w:val="00B0225B"/>
    <w:rsid w:val="00B15482"/>
    <w:rsid w:val="00B306A3"/>
    <w:rsid w:val="00B32488"/>
    <w:rsid w:val="00B32AA5"/>
    <w:rsid w:val="00B32D94"/>
    <w:rsid w:val="00B32E2D"/>
    <w:rsid w:val="00B46AB5"/>
    <w:rsid w:val="00B60F43"/>
    <w:rsid w:val="00B61990"/>
    <w:rsid w:val="00BA4C20"/>
    <w:rsid w:val="00BB506E"/>
    <w:rsid w:val="00BB756F"/>
    <w:rsid w:val="00BC0A77"/>
    <w:rsid w:val="00BC4890"/>
    <w:rsid w:val="00BC7BEE"/>
    <w:rsid w:val="00BD0848"/>
    <w:rsid w:val="00BD4D9F"/>
    <w:rsid w:val="00BE1C0C"/>
    <w:rsid w:val="00BE28D3"/>
    <w:rsid w:val="00BE75B2"/>
    <w:rsid w:val="00BF0556"/>
    <w:rsid w:val="00C0152B"/>
    <w:rsid w:val="00C01758"/>
    <w:rsid w:val="00C1236E"/>
    <w:rsid w:val="00C1454D"/>
    <w:rsid w:val="00C17261"/>
    <w:rsid w:val="00C17A05"/>
    <w:rsid w:val="00C219A0"/>
    <w:rsid w:val="00C23640"/>
    <w:rsid w:val="00C261F8"/>
    <w:rsid w:val="00C33ED2"/>
    <w:rsid w:val="00C44577"/>
    <w:rsid w:val="00C52038"/>
    <w:rsid w:val="00C522D0"/>
    <w:rsid w:val="00C537D2"/>
    <w:rsid w:val="00C627AA"/>
    <w:rsid w:val="00C717E0"/>
    <w:rsid w:val="00C8170F"/>
    <w:rsid w:val="00C855E6"/>
    <w:rsid w:val="00C96B2C"/>
    <w:rsid w:val="00C96BA9"/>
    <w:rsid w:val="00CB1121"/>
    <w:rsid w:val="00CB79F3"/>
    <w:rsid w:val="00CC0FB5"/>
    <w:rsid w:val="00CD1A71"/>
    <w:rsid w:val="00CD1FBB"/>
    <w:rsid w:val="00CD2281"/>
    <w:rsid w:val="00CD5862"/>
    <w:rsid w:val="00CE4AA4"/>
    <w:rsid w:val="00CE5AFE"/>
    <w:rsid w:val="00CF1049"/>
    <w:rsid w:val="00D016B5"/>
    <w:rsid w:val="00D034F1"/>
    <w:rsid w:val="00D227A1"/>
    <w:rsid w:val="00D24B34"/>
    <w:rsid w:val="00D27D5E"/>
    <w:rsid w:val="00D42E42"/>
    <w:rsid w:val="00D45A54"/>
    <w:rsid w:val="00D473F5"/>
    <w:rsid w:val="00D51B1C"/>
    <w:rsid w:val="00D62654"/>
    <w:rsid w:val="00D65BA5"/>
    <w:rsid w:val="00D665CE"/>
    <w:rsid w:val="00D72E7E"/>
    <w:rsid w:val="00D8257A"/>
    <w:rsid w:val="00D9026F"/>
    <w:rsid w:val="00DA21F0"/>
    <w:rsid w:val="00DA64F5"/>
    <w:rsid w:val="00DB306A"/>
    <w:rsid w:val="00DB373F"/>
    <w:rsid w:val="00DC6680"/>
    <w:rsid w:val="00DD39CE"/>
    <w:rsid w:val="00DD6207"/>
    <w:rsid w:val="00DD7A8F"/>
    <w:rsid w:val="00DE23AD"/>
    <w:rsid w:val="00DE2AF1"/>
    <w:rsid w:val="00DE5287"/>
    <w:rsid w:val="00DE6D90"/>
    <w:rsid w:val="00DF002F"/>
    <w:rsid w:val="00E0244D"/>
    <w:rsid w:val="00E11017"/>
    <w:rsid w:val="00E120DE"/>
    <w:rsid w:val="00E221F6"/>
    <w:rsid w:val="00E2615F"/>
    <w:rsid w:val="00E263DE"/>
    <w:rsid w:val="00E26CF0"/>
    <w:rsid w:val="00E32163"/>
    <w:rsid w:val="00E36709"/>
    <w:rsid w:val="00E42A5B"/>
    <w:rsid w:val="00E43ED4"/>
    <w:rsid w:val="00E45153"/>
    <w:rsid w:val="00E5035A"/>
    <w:rsid w:val="00E5091D"/>
    <w:rsid w:val="00E53A1D"/>
    <w:rsid w:val="00E617E3"/>
    <w:rsid w:val="00E626B4"/>
    <w:rsid w:val="00E65667"/>
    <w:rsid w:val="00E73028"/>
    <w:rsid w:val="00E747FB"/>
    <w:rsid w:val="00E813B1"/>
    <w:rsid w:val="00E81E94"/>
    <w:rsid w:val="00E824BA"/>
    <w:rsid w:val="00E82607"/>
    <w:rsid w:val="00E94454"/>
    <w:rsid w:val="00EB2207"/>
    <w:rsid w:val="00ED069E"/>
    <w:rsid w:val="00ED3C55"/>
    <w:rsid w:val="00ED5B30"/>
    <w:rsid w:val="00ED6029"/>
    <w:rsid w:val="00EE1AED"/>
    <w:rsid w:val="00EE6822"/>
    <w:rsid w:val="00EE7768"/>
    <w:rsid w:val="00F0453B"/>
    <w:rsid w:val="00F144C9"/>
    <w:rsid w:val="00F17359"/>
    <w:rsid w:val="00F22103"/>
    <w:rsid w:val="00F23C89"/>
    <w:rsid w:val="00F326DD"/>
    <w:rsid w:val="00F42631"/>
    <w:rsid w:val="00F42701"/>
    <w:rsid w:val="00F45127"/>
    <w:rsid w:val="00F57C77"/>
    <w:rsid w:val="00F641A1"/>
    <w:rsid w:val="00F72951"/>
    <w:rsid w:val="00F74577"/>
    <w:rsid w:val="00F845E7"/>
    <w:rsid w:val="00F860FC"/>
    <w:rsid w:val="00F86312"/>
    <w:rsid w:val="00F92A49"/>
    <w:rsid w:val="00F95103"/>
    <w:rsid w:val="00F970B4"/>
    <w:rsid w:val="00FA37AB"/>
    <w:rsid w:val="00FA3D3A"/>
    <w:rsid w:val="00FA4F34"/>
    <w:rsid w:val="00FA58B6"/>
    <w:rsid w:val="00FA5A79"/>
    <w:rsid w:val="00FB0BFE"/>
    <w:rsid w:val="00FB4C51"/>
    <w:rsid w:val="00FE14CE"/>
    <w:rsid w:val="00FE1DF0"/>
    <w:rsid w:val="00FE5207"/>
    <w:rsid w:val="00FE73CF"/>
    <w:rsid w:val="00FF07B1"/>
    <w:rsid w:val="00FF1DBD"/>
    <w:rsid w:val="00FF49D7"/>
    <w:rsid w:val="00FF50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oNotEmbedSmartTags/>
  <w:decimalSymbol w:val="."/>
  <w:listSeparator w:val=","/>
  <w15:docId w15:val="{CE29190F-C75E-4883-813F-C294C2D7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D72"/>
    <w:pPr>
      <w:suppressAutoHyphens/>
      <w:spacing w:line="240" w:lineRule="atLeast"/>
    </w:pPr>
    <w:rPr>
      <w:lang w:val="fr-CH"/>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qFormat/>
    <w:rsid w:val="0008167F"/>
    <w:pPr>
      <w:spacing w:line="240" w:lineRule="auto"/>
      <w:outlineLvl w:val="1"/>
    </w:pPr>
    <w:rPr>
      <w:lang w:val="en-GB"/>
    </w:rPr>
  </w:style>
  <w:style w:type="paragraph" w:styleId="Heading3">
    <w:name w:val="heading 3"/>
    <w:basedOn w:val="Normal"/>
    <w:next w:val="Normal"/>
    <w:qFormat/>
    <w:rsid w:val="0008167F"/>
    <w:pPr>
      <w:spacing w:line="240" w:lineRule="auto"/>
      <w:outlineLvl w:val="2"/>
    </w:pPr>
    <w:rPr>
      <w:lang w:val="en-GB"/>
    </w:rPr>
  </w:style>
  <w:style w:type="paragraph" w:styleId="Heading4">
    <w:name w:val="heading 4"/>
    <w:basedOn w:val="Normal"/>
    <w:next w:val="Normal"/>
    <w:qFormat/>
    <w:rsid w:val="0008167F"/>
    <w:pPr>
      <w:spacing w:line="240" w:lineRule="auto"/>
      <w:outlineLvl w:val="3"/>
    </w:pPr>
    <w:rPr>
      <w:lang w:val="en-GB"/>
    </w:rPr>
  </w:style>
  <w:style w:type="paragraph" w:styleId="Heading5">
    <w:name w:val="heading 5"/>
    <w:basedOn w:val="Normal"/>
    <w:next w:val="Normal"/>
    <w:qFormat/>
    <w:rsid w:val="0008167F"/>
    <w:pPr>
      <w:spacing w:line="240" w:lineRule="auto"/>
      <w:outlineLvl w:val="4"/>
    </w:pPr>
    <w:rPr>
      <w:lang w:val="en-GB"/>
    </w:rPr>
  </w:style>
  <w:style w:type="paragraph" w:styleId="Heading6">
    <w:name w:val="heading 6"/>
    <w:basedOn w:val="Normal"/>
    <w:next w:val="Normal"/>
    <w:qFormat/>
    <w:rsid w:val="0008167F"/>
    <w:pPr>
      <w:spacing w:line="240" w:lineRule="auto"/>
      <w:outlineLvl w:val="5"/>
    </w:pPr>
    <w:rPr>
      <w:lang w:val="en-GB"/>
    </w:rPr>
  </w:style>
  <w:style w:type="paragraph" w:styleId="Heading7">
    <w:name w:val="heading 7"/>
    <w:basedOn w:val="Normal"/>
    <w:next w:val="Normal"/>
    <w:qFormat/>
    <w:rsid w:val="0008167F"/>
    <w:pPr>
      <w:spacing w:line="240" w:lineRule="auto"/>
      <w:outlineLvl w:val="6"/>
    </w:pPr>
    <w:rPr>
      <w:lang w:val="en-GB"/>
    </w:rPr>
  </w:style>
  <w:style w:type="paragraph" w:styleId="Heading8">
    <w:name w:val="heading 8"/>
    <w:basedOn w:val="Normal"/>
    <w:next w:val="Normal"/>
    <w:qFormat/>
    <w:rsid w:val="0008167F"/>
    <w:pPr>
      <w:spacing w:line="240" w:lineRule="auto"/>
      <w:outlineLvl w:val="7"/>
    </w:pPr>
    <w:rPr>
      <w:lang w:val="en-GB"/>
    </w:rPr>
  </w:style>
  <w:style w:type="paragraph" w:styleId="Heading9">
    <w:name w:val="heading 9"/>
    <w:basedOn w:val="Normal"/>
    <w:next w:val="Normal"/>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8167F"/>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rsid w:val="0008167F"/>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rsid w:val="0008167F"/>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rsid w:val="0008167F"/>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rsid w:val="0008167F"/>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rsid w:val="0008167F"/>
    <w:pPr>
      <w:spacing w:after="120"/>
      <w:ind w:left="1134" w:right="1134"/>
      <w:jc w:val="both"/>
    </w:pPr>
    <w:rPr>
      <w:lang w:val="en-GB"/>
    </w:rPr>
  </w:style>
  <w:style w:type="paragraph" w:customStyle="1" w:styleId="SLG">
    <w:name w:val="__S_L_G"/>
    <w:basedOn w:val="Normal"/>
    <w:next w:val="Normal"/>
    <w:rsid w:val="0008167F"/>
    <w:pPr>
      <w:keepNext/>
      <w:keepLines/>
      <w:spacing w:before="240" w:after="240" w:line="580" w:lineRule="exact"/>
      <w:ind w:left="1134" w:right="1134"/>
    </w:pPr>
    <w:rPr>
      <w:b/>
      <w:sz w:val="56"/>
      <w:lang w:val="en-GB"/>
    </w:rPr>
  </w:style>
  <w:style w:type="paragraph" w:customStyle="1" w:styleId="SMG">
    <w:name w:val="__S_M_G"/>
    <w:basedOn w:val="Normal"/>
    <w:next w:val="Normal"/>
    <w:rsid w:val="0008167F"/>
    <w:pPr>
      <w:keepNext/>
      <w:keepLines/>
      <w:spacing w:before="240" w:after="240" w:line="420" w:lineRule="exact"/>
      <w:ind w:left="1134" w:right="1134"/>
    </w:pPr>
    <w:rPr>
      <w:b/>
      <w:sz w:val="40"/>
      <w:lang w:val="en-GB"/>
    </w:rPr>
  </w:style>
  <w:style w:type="paragraph" w:customStyle="1" w:styleId="SSG">
    <w:name w:val="__S_S_G"/>
    <w:basedOn w:val="Normal"/>
    <w:next w:val="Normal"/>
    <w:rsid w:val="0008167F"/>
    <w:pPr>
      <w:keepNext/>
      <w:keepLines/>
      <w:spacing w:before="240" w:after="240" w:line="300" w:lineRule="exact"/>
      <w:ind w:left="1134" w:right="1134"/>
    </w:pPr>
    <w:rPr>
      <w:b/>
      <w:sz w:val="28"/>
      <w:lang w:val="en-GB"/>
    </w:rPr>
  </w:style>
  <w:style w:type="paragraph" w:customStyle="1" w:styleId="XLargeG">
    <w:name w:val="__XLarge_G"/>
    <w:basedOn w:val="Normal"/>
    <w:next w:val="Normal"/>
    <w:rsid w:val="0008167F"/>
    <w:pPr>
      <w:keepNext/>
      <w:keepLines/>
      <w:spacing w:before="240" w:after="240" w:line="420" w:lineRule="exact"/>
      <w:ind w:left="1134" w:right="1134"/>
    </w:pPr>
    <w:rPr>
      <w:b/>
      <w:sz w:val="40"/>
      <w:lang w:val="en-GB"/>
    </w:rPr>
  </w:style>
  <w:style w:type="paragraph" w:customStyle="1" w:styleId="Bullet1G">
    <w:name w:val="_Bullet 1_G"/>
    <w:basedOn w:val="Normal"/>
    <w:rsid w:val="0008167F"/>
    <w:pPr>
      <w:numPr>
        <w:numId w:val="22"/>
      </w:numPr>
      <w:spacing w:after="120"/>
      <w:ind w:right="1134"/>
      <w:jc w:val="both"/>
    </w:pPr>
    <w:rPr>
      <w:lang w:val="en-GB"/>
    </w:rPr>
  </w:style>
  <w:style w:type="paragraph" w:customStyle="1" w:styleId="Bullet2G">
    <w:name w:val="_Bullet 2_G"/>
    <w:basedOn w:val="Normal"/>
    <w:rsid w:val="0008167F"/>
    <w:pPr>
      <w:numPr>
        <w:numId w:val="23"/>
      </w:numPr>
      <w:spacing w:after="120"/>
      <w:ind w:right="1134"/>
      <w:jc w:val="both"/>
    </w:pPr>
    <w:rPr>
      <w:lang w:val="en-GB"/>
    </w:rPr>
  </w:style>
  <w:style w:type="character" w:styleId="FootnoteReference">
    <w:name w:val="footnote reference"/>
    <w:aliases w:val="4_G"/>
    <w:qFormat/>
    <w:rsid w:val="00F95103"/>
    <w:rPr>
      <w:rFonts w:ascii="Times New Roman" w:hAnsi="Times New Roman"/>
      <w:sz w:val="18"/>
      <w:vertAlign w:val="superscript"/>
    </w:rPr>
  </w:style>
  <w:style w:type="character" w:styleId="EndnoteReference">
    <w:name w:val="endnote reference"/>
    <w:aliases w:val="1_G"/>
    <w:rsid w:val="0008167F"/>
    <w:rPr>
      <w:rFonts w:ascii="Times New Roman" w:hAnsi="Times New Roman"/>
      <w:sz w:val="18"/>
      <w:vertAlign w:val="superscript"/>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qFormat/>
    <w:rsid w:val="00F95103"/>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8167F"/>
  </w:style>
  <w:style w:type="character" w:styleId="PageNumber">
    <w:name w:val="page number"/>
    <w:aliases w:val="7_G"/>
    <w:rsid w:val="0008167F"/>
    <w:rPr>
      <w:rFonts w:ascii="Times New Roman" w:hAnsi="Times New Roman"/>
      <w:b/>
      <w:sz w:val="18"/>
    </w:rPr>
  </w:style>
  <w:style w:type="paragraph" w:styleId="Footer">
    <w:name w:val="footer"/>
    <w:aliases w:val="3_G"/>
    <w:basedOn w:val="Normal"/>
    <w:rsid w:val="0008167F"/>
    <w:pPr>
      <w:spacing w:line="240" w:lineRule="auto"/>
    </w:pPr>
    <w:rPr>
      <w:sz w:val="16"/>
      <w:lang w:val="en-GB"/>
    </w:rPr>
  </w:style>
  <w:style w:type="character" w:styleId="Hyperlink">
    <w:name w:val="Hyperlink"/>
    <w:semiHidden/>
    <w:rsid w:val="0008167F"/>
    <w:rPr>
      <w:color w:val="auto"/>
      <w:u w:val="none"/>
    </w:rPr>
  </w:style>
  <w:style w:type="character" w:styleId="FollowedHyperlink">
    <w:name w:val="FollowedHyperlink"/>
    <w:semiHidden/>
    <w:rsid w:val="0008167F"/>
    <w:rPr>
      <w:color w:val="auto"/>
      <w:u w:val="none"/>
    </w:rPr>
  </w:style>
  <w:style w:type="table" w:styleId="TableGrid">
    <w:name w:val="Table Grid"/>
    <w:basedOn w:val="TableNormal"/>
    <w:semiHidden/>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Spacing">
    <w:name w:val="No Spacing"/>
    <w:uiPriority w:val="1"/>
    <w:qFormat/>
    <w:rsid w:val="006879D2"/>
    <w:rPr>
      <w:rFonts w:ascii="Calibri" w:eastAsia="Calibri" w:hAnsi="Calibri"/>
      <w:sz w:val="22"/>
      <w:szCs w:val="22"/>
      <w:lang w:val="es-ES"/>
    </w:rPr>
  </w:style>
  <w:style w:type="paragraph" w:styleId="BalloonText">
    <w:name w:val="Balloon Text"/>
    <w:basedOn w:val="Normal"/>
    <w:link w:val="BalloonTextChar"/>
    <w:rsid w:val="001A500B"/>
    <w:pPr>
      <w:spacing w:line="240" w:lineRule="auto"/>
    </w:pPr>
    <w:rPr>
      <w:rFonts w:ascii="Tahoma" w:hAnsi="Tahoma" w:cs="Tahoma"/>
      <w:sz w:val="16"/>
      <w:szCs w:val="16"/>
    </w:rPr>
  </w:style>
  <w:style w:type="character" w:customStyle="1" w:styleId="BalloonTextChar">
    <w:name w:val="Balloon Text Char"/>
    <w:link w:val="BalloonText"/>
    <w:rsid w:val="001A500B"/>
    <w:rPr>
      <w:rFonts w:ascii="Tahoma" w:hAnsi="Tahoma" w:cs="Tahoma"/>
      <w:sz w:val="16"/>
      <w:szCs w:val="16"/>
      <w:lang w:val="fr-CH" w:eastAsia="en-US"/>
    </w:rPr>
  </w:style>
  <w:style w:type="character" w:customStyle="1" w:styleId="FootnoteTextChar">
    <w:name w:val="Footnote Text Char"/>
    <w:aliases w:val="5_G Char"/>
    <w:link w:val="FootnoteText"/>
    <w:rsid w:val="00F144C9"/>
    <w:rPr>
      <w:rFonts w:eastAsia="SimSun"/>
      <w:sz w:val="18"/>
    </w:rPr>
  </w:style>
  <w:style w:type="character" w:styleId="CommentReference">
    <w:name w:val="annotation reference"/>
    <w:rsid w:val="00A27B94"/>
    <w:rPr>
      <w:sz w:val="16"/>
      <w:szCs w:val="16"/>
    </w:rPr>
  </w:style>
  <w:style w:type="paragraph" w:styleId="CommentText">
    <w:name w:val="annotation text"/>
    <w:basedOn w:val="Normal"/>
    <w:link w:val="CommentTextChar"/>
    <w:rsid w:val="00A27B94"/>
  </w:style>
  <w:style w:type="character" w:customStyle="1" w:styleId="CommentTextChar">
    <w:name w:val="Comment Text Char"/>
    <w:link w:val="CommentText"/>
    <w:rsid w:val="00A27B94"/>
    <w:rPr>
      <w:lang w:val="fr-CH" w:eastAsia="en-US"/>
    </w:rPr>
  </w:style>
  <w:style w:type="paragraph" w:styleId="CommentSubject">
    <w:name w:val="annotation subject"/>
    <w:basedOn w:val="CommentText"/>
    <w:next w:val="CommentText"/>
    <w:link w:val="CommentSubjectChar"/>
    <w:rsid w:val="00A27B94"/>
    <w:rPr>
      <w:b/>
      <w:bCs/>
    </w:rPr>
  </w:style>
  <w:style w:type="character" w:customStyle="1" w:styleId="CommentSubjectChar">
    <w:name w:val="Comment Subject Char"/>
    <w:link w:val="CommentSubject"/>
    <w:rsid w:val="00A27B94"/>
    <w:rPr>
      <w:b/>
      <w:bCs/>
      <w:lang w:val="fr-CH" w:eastAsia="en-US"/>
    </w:rPr>
  </w:style>
  <w:style w:type="paragraph" w:styleId="Revision">
    <w:name w:val="Revision"/>
    <w:hidden/>
    <w:uiPriority w:val="99"/>
    <w:semiHidden/>
    <w:rsid w:val="00A27B94"/>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issues/women/wgwomen/pages/wgwomeninde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826D4-E029-4DED-AD9B-BDAB00C6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A_F</Template>
  <TotalTime>1</TotalTime>
  <Pages>21</Pages>
  <Words>10118</Words>
  <Characters>57677</Characters>
  <Application>Microsoft Office Word</Application>
  <DocSecurity>0</DocSecurity>
  <Lines>480</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CSD</Company>
  <LinksUpToDate>false</LinksUpToDate>
  <CharactersWithSpaces>67660</CharactersWithSpaces>
  <SharedDoc>false</SharedDoc>
  <HLinks>
    <vt:vector size="6" baseType="variant">
      <vt:variant>
        <vt:i4>6029400</vt:i4>
      </vt:variant>
      <vt:variant>
        <vt:i4>0</vt:i4>
      </vt:variant>
      <vt:variant>
        <vt:i4>0</vt:i4>
      </vt:variant>
      <vt:variant>
        <vt:i4>5</vt:i4>
      </vt:variant>
      <vt:variant>
        <vt:lpwstr>http://www.ohchr.org/en/issues/women/wgwomen/pages/wgwomenindex.aspx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Hydaya Kangabe</dc:creator>
  <cp:keywords/>
  <cp:lastModifiedBy>Arturo Rubalcava</cp:lastModifiedBy>
  <cp:revision>2</cp:revision>
  <cp:lastPrinted>2015-04-02T09:01:00Z</cp:lastPrinted>
  <dcterms:created xsi:type="dcterms:W3CDTF">2016-09-09T19:05:00Z</dcterms:created>
  <dcterms:modified xsi:type="dcterms:W3CDTF">2016-09-09T19:05:00Z</dcterms:modified>
</cp:coreProperties>
</file>